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hint="eastAsia" w:ascii="仿宋" w:hAnsi="仿宋" w:eastAsia="仿宋" w:cs="仿宋"/>
          <w:b/>
          <w:bCs/>
          <w:color w:val="auto"/>
          <w:kern w:val="0"/>
          <w:sz w:val="26"/>
          <w:szCs w:val="26"/>
          <w:highlight w:val="none"/>
          <w:lang w:val="en-US" w:eastAsia="zh-CN" w:bidi="ar"/>
        </w:rPr>
      </w:pPr>
      <w:r>
        <w:rPr>
          <w:rFonts w:hint="eastAsia" w:ascii="仿宋" w:hAnsi="仿宋" w:eastAsia="仿宋" w:cs="仿宋"/>
          <w:b/>
          <w:bCs/>
          <w:color w:val="auto"/>
          <w:kern w:val="0"/>
          <w:sz w:val="26"/>
          <w:szCs w:val="26"/>
          <w:highlight w:val="none"/>
          <w:lang w:val="en-US" w:eastAsia="zh-CN" w:bidi="ar"/>
        </w:rPr>
        <w:t>一、采购需求</w:t>
      </w:r>
    </w:p>
    <w:p>
      <w:pPr>
        <w:pStyle w:val="9"/>
        <w:keepNext w:val="0"/>
        <w:keepLines w:val="0"/>
        <w:pageBreakBefore w:val="0"/>
        <w:numPr>
          <w:ilvl w:val="0"/>
          <w:numId w:val="0"/>
        </w:numPr>
        <w:kinsoku/>
        <w:wordWrap/>
        <w:overflowPunct/>
        <w:topLinePunct w:val="0"/>
        <w:bidi w:val="0"/>
        <w:snapToGrid/>
        <w:spacing w:line="500" w:lineRule="exact"/>
        <w:ind w:firstLine="240" w:firstLineChars="1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（一）项目概述</w:t>
      </w:r>
    </w:p>
    <w:p>
      <w:pPr>
        <w:pStyle w:val="10"/>
        <w:keepNext w:val="0"/>
        <w:keepLines w:val="0"/>
        <w:pageBreakBefore w:val="0"/>
        <w:kinsoku/>
        <w:wordWrap/>
        <w:overflowPunct/>
        <w:topLinePunct w:val="0"/>
        <w:bidi w:val="0"/>
        <w:snapToGrid/>
        <w:spacing w:line="500" w:lineRule="exact"/>
        <w:ind w:firstLine="480" w:firstLineChars="2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根据医院业务发展需要，为进一步提升诊疗能力，心血管内科二病区需采购设备一批，实施本项目。</w:t>
      </w:r>
    </w:p>
    <w:p>
      <w:pPr>
        <w:pStyle w:val="10"/>
        <w:keepNext w:val="0"/>
        <w:keepLines w:val="0"/>
        <w:pageBreakBefore w:val="0"/>
        <w:kinsoku/>
        <w:wordWrap/>
        <w:overflowPunct/>
        <w:topLinePunct w:val="0"/>
        <w:bidi w:val="0"/>
        <w:snapToGrid/>
        <w:spacing w:line="500" w:lineRule="exact"/>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（二）采购内容清单</w:t>
      </w:r>
    </w:p>
    <w:tbl>
      <w:tblPr>
        <w:tblStyle w:val="7"/>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62"/>
        <w:gridCol w:w="682"/>
        <w:gridCol w:w="712"/>
        <w:gridCol w:w="1066"/>
        <w:gridCol w:w="1065"/>
        <w:gridCol w:w="1147"/>
        <w:gridCol w:w="987"/>
        <w:gridCol w:w="954"/>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rPr>
        <w:tc>
          <w:tcPr>
            <w:tcW w:w="856" w:type="dxa"/>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序号</w:t>
            </w:r>
          </w:p>
        </w:tc>
        <w:tc>
          <w:tcPr>
            <w:tcW w:w="1562" w:type="dxa"/>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标的名称</w:t>
            </w:r>
          </w:p>
        </w:tc>
        <w:tc>
          <w:tcPr>
            <w:tcW w:w="682" w:type="dxa"/>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数量</w:t>
            </w:r>
          </w:p>
        </w:tc>
        <w:tc>
          <w:tcPr>
            <w:tcW w:w="712" w:type="dxa"/>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单位</w:t>
            </w:r>
          </w:p>
        </w:tc>
        <w:tc>
          <w:tcPr>
            <w:tcW w:w="1066" w:type="dxa"/>
            <w:vAlign w:val="center"/>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标的限价（元）</w:t>
            </w:r>
          </w:p>
        </w:tc>
        <w:tc>
          <w:tcPr>
            <w:tcW w:w="1065" w:type="dxa"/>
            <w:vAlign w:val="center"/>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是否涉及强制节能产品</w:t>
            </w:r>
          </w:p>
        </w:tc>
        <w:tc>
          <w:tcPr>
            <w:tcW w:w="1147" w:type="dxa"/>
            <w:vAlign w:val="center"/>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是否涉及优先采购节能产品</w:t>
            </w:r>
          </w:p>
        </w:tc>
        <w:tc>
          <w:tcPr>
            <w:tcW w:w="987" w:type="dxa"/>
            <w:vAlign w:val="center"/>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是否涉及环境标志产品</w:t>
            </w:r>
          </w:p>
        </w:tc>
        <w:tc>
          <w:tcPr>
            <w:tcW w:w="954" w:type="dxa"/>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是否核心产品</w:t>
            </w:r>
          </w:p>
        </w:tc>
        <w:tc>
          <w:tcPr>
            <w:tcW w:w="769" w:type="dxa"/>
          </w:tcPr>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p>
          <w:p>
            <w:pPr>
              <w:pStyle w:val="2"/>
              <w:spacing w:before="0" w:after="0" w:line="400" w:lineRule="exact"/>
              <w:jc w:val="center"/>
              <w:outlineLvl w:val="1"/>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行业分类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除颤监护仪</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45000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是</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移动式空气消毒机</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5000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输液车</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1250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注射泵</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34500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心电图机</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22000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病历夹推车</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2500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床单元消毒机</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13000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856"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1562"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设备推车</w:t>
            </w:r>
          </w:p>
        </w:tc>
        <w:tc>
          <w:tcPr>
            <w:tcW w:w="6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12" w:type="dxa"/>
            <w:vAlign w:val="center"/>
          </w:tcPr>
          <w:p>
            <w:pPr>
              <w:widowControl/>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台</w:t>
            </w:r>
          </w:p>
        </w:tc>
        <w:tc>
          <w:tcPr>
            <w:tcW w:w="1066" w:type="dxa"/>
            <w:vAlign w:val="center"/>
          </w:tcPr>
          <w:p>
            <w:pPr>
              <w:keepNext w:val="0"/>
              <w:keepLines w:val="0"/>
              <w:widowControl/>
              <w:suppressLineNumbers w:val="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1250</w:t>
            </w:r>
          </w:p>
        </w:tc>
        <w:tc>
          <w:tcPr>
            <w:tcW w:w="1065"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114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87"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954"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否</w:t>
            </w:r>
          </w:p>
        </w:tc>
        <w:tc>
          <w:tcPr>
            <w:tcW w:w="769" w:type="dxa"/>
            <w:vAlign w:val="center"/>
          </w:tcPr>
          <w:p>
            <w:pPr>
              <w:keepNext/>
              <w:keepLines/>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bl>
    <w:p>
      <w:pPr>
        <w:widowControl/>
        <w:spacing w:line="400" w:lineRule="exact"/>
        <w:jc w:val="left"/>
        <w:rPr>
          <w:rFonts w:hint="eastAsia" w:ascii="仿宋" w:hAnsi="仿宋" w:eastAsia="仿宋" w:cs="仿宋"/>
          <w:b/>
          <w:bCs/>
          <w:color w:val="auto"/>
          <w:kern w:val="0"/>
          <w:sz w:val="26"/>
          <w:szCs w:val="26"/>
          <w:highlight w:val="none"/>
          <w:lang w:bidi="ar"/>
        </w:rPr>
      </w:pPr>
      <w:r>
        <w:rPr>
          <w:rFonts w:hint="eastAsia" w:ascii="仿宋" w:hAnsi="仿宋" w:eastAsia="仿宋" w:cs="仿宋"/>
          <w:b/>
          <w:bCs/>
          <w:color w:val="auto"/>
          <w:kern w:val="0"/>
          <w:sz w:val="26"/>
          <w:szCs w:val="26"/>
          <w:highlight w:val="none"/>
          <w:lang w:bidi="ar"/>
        </w:rPr>
        <w:t>二、技术参数及性能指标</w:t>
      </w:r>
    </w:p>
    <w:tbl>
      <w:tblPr>
        <w:tblStyle w:val="6"/>
        <w:tblW w:w="9817"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17"/>
        <w:gridCol w:w="836"/>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序号</w:t>
            </w:r>
          </w:p>
        </w:tc>
        <w:tc>
          <w:tcPr>
            <w:tcW w:w="917"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符号标识</w:t>
            </w:r>
          </w:p>
        </w:tc>
        <w:tc>
          <w:tcPr>
            <w:tcW w:w="836"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标的名称</w:t>
            </w:r>
          </w:p>
        </w:tc>
        <w:tc>
          <w:tcPr>
            <w:tcW w:w="7381"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技术参数（性能指标）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除颤监护仪</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1.具有心电监护及自动、手动体外除颤功能；</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2.最高能量：≥200J；</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3.标称能量：≥150J；</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4.支持手动与自动体外除颤模式切换；</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5.支持实时测量胸壁阻抗并由此控制所发出的低能量形态；</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6.最高能量充电时间：≤3s；</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7.放电时间：根据病人体形自动设定；</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8.具有起搏测试功能及除颤保护功能；</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9.具有标准的成人、儿童组合电极板，成人电极板滑脱后为儿童电极板；</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10.具有电极板接触指示器；</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11.显示屏：≥5英寸高亮度、抗冲击显示屏；</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12.自动体外除颤方式具备中文语音提示；</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13.具有多功能电极衬垫：成人，用于除颤、心电监护；</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14.打印纸：50mm宽普通热敏打印纸。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移动式空气消毒机</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1.安装方式：移动式；</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2.消毒空间：≥100m³；</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3.采用紫外线杀菌，支持人机共存功能，可以有效地去除空气中2.5um以上的尘埃及微生物，除尘净化率≥98%；</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4.采用微电脑程序控制，中文液晶显示，触摸式按键操作；</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5.采用微电脑、高精度时钟芯片控制；</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6.支持控制面板临时消毒功能及程控自动运行消毒设定，可任意设定开关机时间；</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7.具有远红外线遥控接收装置，遥控器具有防丢失功能；</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8.风量模式工作状态显示，风速高、中、低自由选择；</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9.具有整机寿命计时、清洗保养提醒、电机及紫外灯故障自动报警等功能；</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10.消毒后细菌总量：≤200cfu/m³;</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11.负离子浓度：≥6*106个/cm³;</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12、功率：≥180W;</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13、噪音：≤50dB。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输液车</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1.外形尺寸：740mm*450mm*830mm（±5%）</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2.推车上下台面采用厚度≥1.0mm304不锈钢冷轧板，折弯后组焊而成，表面经抗指纹磨砂处理；</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3.台面下方配3个抽屉，抽屉滑槽采用三级静音滑轨。上下台面三方（左右及后方）带不锈钢围栏，围栏采用不锈钢制作并配有塑钢立柱；</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4.挂钩架为可调式，根据需要自行调节高度。</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5.框架采用≥Φ16mm*1.2mm不锈钢圆管,挂钩采用≥Φ5mm不锈钢冷拔圆钢，挂钩数量≥7个；</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6.推车右侧配置ABS带盖污物桶1个，整车配置4只防缠绕设计面包脚轮，其中2只脚轮配置刹车。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注射泵</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一、基本要求</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1.通道数：2个，2个通道分别独立设置；</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2.适用注射器：5ml、10ml、20ml、30ml、50/60ml（自动识别、国标注射器）</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3.显示：彩色触摸屏（双通道双屏）,分辨率≥480*320</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二、输注速度与精度</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1.速度范围（按注射器规格）：</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5ml：0.10～100.0ml/h；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10ml：0.10～300.0ml/h；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20ml：0.10～600.0ml/h；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30ml：0.10～900.0ml/h；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50/60ml：0.10～2000ml/h。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2.速度步进</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0.10～99.99ml/h：0.01ml/h；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100.0～999.9ml/h：0.1ml/h；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1000～2000ml/h：1ml/h。</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3.精度</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（1）输注精度：≤±2%（含注射器）</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（2）机械精度：≤±0.5%</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三、输注模式与容量</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1.输注模式：包括速度模式、时间模式、体重模式、梯度模式、首剂量模式、序列模式、TIVA模式、微量模式、间歇模式等。</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2.容量</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（1）预置量：0.10ml～9999.99ml,最小增量≤0.01ml；</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4999355</wp:posOffset>
                      </wp:positionH>
                      <wp:positionV relativeFrom="paragraph">
                        <wp:posOffset>173355</wp:posOffset>
                      </wp:positionV>
                      <wp:extent cx="69215" cy="2089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9215" cy="208915"/>
                              </a:xfrm>
                              <a:prstGeom prst="rect">
                                <a:avLst/>
                              </a:prstGeom>
                              <a:noFill/>
                              <a:ln>
                                <a:noFill/>
                              </a:ln>
                            </wps:spPr>
                            <wps:txbx>
                              <w:txbxContent>
                                <w:p>
                                  <w:pPr>
                                    <w:pStyle w:val="5"/>
                                    <w:widowControl/>
                                    <w:spacing w:before="20" w:line="222" w:lineRule="auto"/>
                                    <w:jc w:val="right"/>
                                    <w:rPr>
                                      <w:sz w:val="24"/>
                                      <w:szCs w:val="24"/>
                                    </w:rPr>
                                  </w:pPr>
                                  <w:r>
                                    <w:rPr>
                                      <w:spacing w:val="-15"/>
                                      <w:w w:val="69"/>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393.65pt;margin-top:13.65pt;height:16.45pt;width:5.45pt;z-index:251659264;mso-width-relative:page;mso-height-relative:page;" filled="f" stroked="f" coordsize="21600,21600" o:gfxdata="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rKxdkAAAAJAQAADwAAAAAAAAAB&#10;ACAAAAAiAAAAZHJzL2Rvd25yZXYueG1sUEsBAhQAFAAAAAgAh07iQDjJd32dAQAAIgMAAA4AAAAA&#10;AAAAAQAgAAAAKAEAAGRycy9lMm9Eb2MueG1sUEsFBgAAAAAGAAYAWQEAADcFAAAAAA==&#10;">
                      <v:fill on="f" focussize="0,0"/>
                      <v:stroke on="f"/>
                      <v:imagedata o:title=""/>
                      <o:lock v:ext="edit" aspectratio="f"/>
                      <v:textbox inset="0mm,0mm,0mm,0mm">
                        <w:txbxContent>
                          <w:p>
                            <w:pPr>
                              <w:pStyle w:val="5"/>
                              <w:widowControl/>
                              <w:spacing w:before="20" w:line="222" w:lineRule="auto"/>
                              <w:jc w:val="right"/>
                              <w:rPr>
                                <w:sz w:val="24"/>
                                <w:szCs w:val="24"/>
                              </w:rPr>
                            </w:pPr>
                            <w:r>
                              <w:rPr>
                                <w:spacing w:val="-15"/>
                                <w:w w:val="69"/>
                                <w:sz w:val="24"/>
                                <w:szCs w:val="24"/>
                              </w:rPr>
                              <w:t>(</w:t>
                            </w:r>
                          </w:p>
                        </w:txbxContent>
                      </v:textbox>
                    </v:shape>
                  </w:pict>
                </mc:Fallback>
              </mc:AlternateContent>
            </w:r>
            <w:r>
              <w:rPr>
                <w:rFonts w:hint="eastAsia" w:ascii="仿宋" w:hAnsi="仿宋" w:eastAsia="仿宋" w:cs="仿宋"/>
                <w:color w:val="auto"/>
                <w:kern w:val="2"/>
                <w:sz w:val="24"/>
                <w:szCs w:val="24"/>
                <w:highlight w:val="none"/>
                <w:lang w:val="en-US" w:eastAsia="zh-CN" w:bidi="ar-SA"/>
              </w:rPr>
              <w:t>（2）累积量：0.00～9999.99ml；</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（3）快进速度：同对应注射器最大速度；</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（4）快进预置量：5ml注射器0.1ml～5ml,60ml注射器0.1ml～50ml。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心电图机</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1.显示屏：≥7 英寸彩色液晶触摸屏，分辨率≥800*480 。</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2.电源：</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（1）交流电源：额定电压：100V～240V，额定频率：50Hz/60Hz，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功率：96VA～216VA。</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（2）直流电源（锂离子电池）：额定输出电压：14.8V，额定容量≥2500mAh；充电至 100%的时间≤3h，充电至90%的时间≤2h；在常温下，新电池充满电后工作时长≥ 4h；记录数量/时长：自动模式（3*4+1 R）≥250份；手动模式（连续记录）≥2h；循环寿命≥300次。</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3.记录仪</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（1）记录方式：热敏点阵记录；</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（2）打印分辨率：≥8点/mm（幅度轴）；≥40点/mm（时间轴， @ 25 mm/s）；</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（3）记录纸规格：热敏记录折叠纸：210mm*140mm不少于144 页、210mm*295mm不少于100页、215mm*280mm不少于100 页；</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（4）走纸速度：5 mm/s、6.25 mm/s、10 mm/s、12.5 mm/s、25mm/s、50mm/s（±3%）；</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（5）记录通道：3*4、3*4+1R、3*4+3R、6*2、6*2+1R、12*1；</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（6）记录内容：心电波形、分析结果、明尼苏达码、平均模板以及导联名称、走纸速度、增益、滤波器、日期、患者信息、标记等。</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4.心率计算：</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（1）心率范围：30bpm～300bpm</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（2）计算精度：≤±1bpm</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5.心电主机</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（1）输入方式：浮地，除颤保护，起博脉冲抑制；</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（2）导联：标准12导联同步采集，支持NEHB、Cabrera导联体系；</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（3）采集模式：12道同步；</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（4）A/D转换：24位；</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（5）分辨率：≥0.1192uV/LSB；</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（6）时间常数：≥5s；</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（7）频率响应：0.01Hz～500Hz；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（8）增益：（ 1.25mm/mV 、2.5mm/mV 、5mm/mV 、10mm/mV 、20mm/mV、10/5mm/mV、AGC）±5%；</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（9）输入阻抗：≥100MΩ（10Hz）；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（10）输入回路电流：≤0.01μA；</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（11）输入电压范围：≤±5 mVpp</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（12）定标电压：1mV±1%</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（13）耐极化电压：±900mV (±5%)</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（14）最小检测信号：20μVp-p</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（15）噪声电平：≤12.5μVp-p</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（16）道间干扰：≤0.5mm</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（17）患者漏电流：NC: &lt;10 µA（AC）/ &lt;10 µA（DC）；SFC: &lt;50 µA（AC）/ &lt;50 µA（DC）；</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（18）患者辅助漏电流：NC: &lt;10 µA（AC）/ &lt;10 µA（DC）；SFC: &lt;50 µA（AC）/ &lt;50 µA（DC）；</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（19）共模抑制比（CMRR）：≥140dB（AC 滤波开启），≥123dB（AC 滤波关闭）；</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（20）采样率：64kHz。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6.起搏器检测</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（1）振幅：±500uV～±700 mV；</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（2）宽度：30μs～2.0 ms；</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（3）起搏采样率：80kHz，节律导联。</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7.滤波器</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（1）交流滤波器：开启/关闭</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（2）基线漂移滤波器：0.01Hz、0.05Hz、0.15Hz、0.25Hz、0.32Hz、0.5Hz、0.67Hz；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（3）肌电滤波器：25Hz、35Hz、45Hz、关闭；</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（4）低通滤波器：75Hz、100Hz、150Hz、270Hz、300Hz、350Hz。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8.信号接口：外部输入输出端口、串口、网口、USB口、SD卡槽。</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9.支持WIFI：</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（1）发射频率：2400MHz～2497MHz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（2）频带：2400MHz～2497MHz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（3）调制类型：DSSS、 CCK、 OFDM</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（4）发射功率：6dBm～17dBm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病历夹推车</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1.外形尺寸：610mm*410mm*1390mm（±3%）；</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2.下部与地面的净空高度约150mm；</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3.台面采用厚度≥1.0mm的304不锈钢板，柜体采用厚度≥0.8mm的304不锈钢磨砂板；</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4.能同时存放≥60位病历夹，病历夹侧滑道采用ABS材料注塑成型，侧滑道配置小滚轮，病历夹抽拉灵活轻便；</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5.病历夹推车配有安全锁，病历夹分两列放置并有数字标识放置位置；</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6.配置4只静音脚轮，带对角刹车。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床单元消毒机</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一、基本要求</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1.适用范围：病床床垫、被褥、枕芯、床罩等床单元物品深层消毒。</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2.消毒方式：臭氧气体+抽真空/充气循环+解析还原（分解残余臭氧）。</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3.通道/床位：双通道/单次消毒单床（主流机型）。</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4.外形尺寸（单床）:≥450mm*420mm*990mm（长*宽*高）。</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5.安装方式：移动式，带万向静音脚轮（带刹车）、顶部推手。</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6.配置：专用密封消毒床罩(2.6m*1.8m)≥2套，耐臭氧硅胶输气管≥2套，电源线≥3m。</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二、技术指标（医用级）</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1.臭氧产量与浓度</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（1）臭氧发生器产量：≥4000mg/h（沿面放电/陶瓷介质）</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（2）消毒床罩内臭氧浓度：≥1000mg/m³（工作5min稳定值）</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（3）管路输出臭氧浓度：≥3000mg/m³</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（4）臭氧浓度调节：多档位可调</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（5）发生器寿命：≥10000小时</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2.泄漏/残留</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（1）响应产品符合《医用臭氧消毒设备》（YY/T0215-2016）标准要求。</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（2）床罩密闭时臭氧泄漏量：≤0.16mg/m³；</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（3）消毒后残余臭氧解析还原：≤0.08mg/m³（还原后安全值）；</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（4）还原时间：4min～30min可调，自动完成臭氧分解。</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3.杀菌消毒效果</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（1）金黄色葡萄球菌、大肠杆菌、铜绿假单胞菌：杀灭对数值≥3.00（杀灭率≥99.9%）；对白色念珠菌：杀灭对数值≥3.00；</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床品表面自然菌：消亡率≥90%,杀灭对数值≥1.00；</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（2）消毒时间：0～120min连续可调；</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（3）工作流程：抽真空→充臭氧→保压消毒→解析还原→排气，全自动。</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三、电气与环境要求</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1.电源：AC220V±10%,50Hz</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2.额定输入功率：≤500W</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3.工作噪音：≤55dB</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四、控制与功能要求</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1.控制方式：中文液晶显示屏+按键/触控、红外遥控，微电脑全自动控制。</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2.运行模式：手动/自动、定时、预约、快速消毒。</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3.智能功能：具有抽真空时间可调、消毒时间可调、还原时间可调、运行累计计时、滤网/臭氧管更换提醒、故障声光报警（漏气、过载、超温）等功能。</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4.安全保护：具有过流、过载、漏电保护、臭氧泄漏报警、门盖未关保护等功能。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917" w:type="dxa"/>
            <w:tcBorders>
              <w:left w:val="single" w:color="auto" w:sz="4" w:space="0"/>
            </w:tcBorders>
            <w:shd w:val="clear" w:color="auto" w:fill="auto"/>
            <w:vAlign w:val="center"/>
          </w:tcPr>
          <w:p>
            <w:pPr>
              <w:keepNext w:val="0"/>
              <w:keepLines/>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w:t>
            </w:r>
          </w:p>
        </w:tc>
        <w:tc>
          <w:tcPr>
            <w:tcW w:w="836"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设备推车</w:t>
            </w:r>
          </w:p>
        </w:tc>
        <w:tc>
          <w:tcPr>
            <w:tcW w:w="7381" w:type="dxa"/>
            <w:tcBorders>
              <w:left w:val="single" w:color="auto" w:sz="4" w:space="0"/>
            </w:tcBorders>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1.外形尺寸：650mm*450mm*800mm（±5%）</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2.整车由不锈钢管及不锈钢板经焊接组装而成，耐腐蚀。</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3.护栏采用≥Φ12mm和≥Φ6mm不锈钢管组合制作。</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4.推车台面及侧板采用厚度≥0.8mm不锈钢板制作；</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5.脚轮采用4只带刹车静音万向轮，高耐磨，稳定性好；承重≥50kg。</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6.推车整体外型平整、四角平行，表面无锋棱、毛刺等明显缺陷，各焊接部件打磨光滑光滑，抛光均匀。</w:t>
            </w:r>
          </w:p>
        </w:tc>
      </w:tr>
    </w:tbl>
    <w:p>
      <w:pPr>
        <w:pStyle w:val="11"/>
        <w:spacing w:line="400" w:lineRule="exact"/>
        <w:rPr>
          <w:rFonts w:hint="eastAsia" w:ascii="仿宋" w:hAnsi="仿宋" w:eastAsia="仿宋" w:cs="仿宋"/>
          <w:color w:val="auto"/>
          <w:sz w:val="28"/>
          <w:szCs w:val="28"/>
          <w:highlight w:val="none"/>
          <w:lang w:eastAsia="zh-CN"/>
        </w:rPr>
      </w:pPr>
    </w:p>
    <w:p>
      <w:pPr>
        <w:pStyle w:val="11"/>
        <w:spacing w:line="400" w:lineRule="exact"/>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三、商务要求</w:t>
      </w:r>
      <w:r>
        <w:rPr>
          <w:rFonts w:hint="eastAsia" w:ascii="仿宋" w:hAnsi="仿宋" w:eastAsia="仿宋" w:cs="仿宋"/>
          <w:color w:val="auto"/>
          <w:sz w:val="28"/>
          <w:szCs w:val="28"/>
          <w:highlight w:val="none"/>
          <w:lang w:eastAsia="zh-CN"/>
        </w:rPr>
        <w:t xml:space="preserve"> </w:t>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00"/>
        <w:gridCol w:w="1357"/>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800"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符号标识</w:t>
            </w:r>
          </w:p>
        </w:tc>
        <w:tc>
          <w:tcPr>
            <w:tcW w:w="1357"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商务要求名称</w:t>
            </w:r>
          </w:p>
        </w:tc>
        <w:tc>
          <w:tcPr>
            <w:tcW w:w="6699"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商务要求内容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完成时间</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同签订生效后30日内完成安装调试培训（如果因采购人原因要求延期交货的，以采购人通知的交货时间为准。），同时进入2个月试运行时间，试运行结束后无质量问题由成交供应商申请验收，验收合格后正式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交货地点</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南江县人民医院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支付方式</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分期付款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付款进度安排</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（1）项目验收合格后，达到付款条件起30日内，支付合同总金额的95.00%（2）自验收合格之日起3年后，达到付款条件起30日内，支付合同总金额的5.00%。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验收、交付标准和方法</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验收方式：由采购人组织并制定验收方案，供应商参与并提出验收申请，完成安装调试培训及试运行结束后一次性验收。</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验收标准：参照《财政部关于进一步加强政府采购需求和履约验收管理的指导意见》（财库〔2016〕205号）、《财政部关于印发〈政府采购需求管理办法〉的通知》（财库〔2021〕22号）及《巴中市财政局关于进一步加强政府采购项目合同履约验收管理工作的通知》（巴财采〔2021〕21号）、采购文件规定的要求、响应文件承诺及合同约定的标准进行验收。</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3.验收内容：技术服务和商务要求全部内容及合同履约情况以及应当由成交供应商提供的其他资料。</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4.验收结果运用：验收合格的，双方签署采购验收报告，作为支付采购资金的依据；验收结果不合格的，由成交供应商按照双方约定的标准进行整改，直至验收合格为止。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质量保修范围和保修期</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1.质量保修范围：本项目由成交供应商提供的全部货物。</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2.保修期：自验收合格之日起3年。</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3.供应商应为本项目配备专业售后服务人员。</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供应商承诺的保修期内出现质量问题，在接到通知后1小时内响应，无法远程服务的，12小时内维修人员应到达现场，24小时内完成维修并恢复正常运行，在质量保修期内维修或更换所产生的费用由成交供应商全部承担。</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5.培训：成交供应商应对采购人的管理人员进行设备的使用培训，以使用人员能熟练操作为培训合格。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78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800"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包装方式及运输</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jc w:val="center"/>
        </w:trPr>
        <w:tc>
          <w:tcPr>
            <w:tcW w:w="783" w:type="dxa"/>
            <w:tcBorders>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800"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报价构成</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zh-CN" w:eastAsia="zh-CN"/>
              </w:rPr>
            </w:pPr>
            <w:r>
              <w:rPr>
                <w:rFonts w:hint="eastAsia" w:ascii="仿宋" w:hAnsi="仿宋" w:eastAsia="仿宋" w:cs="仿宋"/>
                <w:b w:val="0"/>
                <w:bCs/>
                <w:sz w:val="24"/>
                <w:szCs w:val="24"/>
                <w:lang w:val="en-US" w:eastAsia="zh-CN"/>
              </w:rPr>
              <w:t>供应商报价应是完成本项目所有费用，包括设备（含备品备件）费、安装调试费、辅助材料费、装卸运输费、安全文明费、保险费（含货物及参与人员）、培训费、管理费、合理的利润、税费、保修期内的售后服务等一切费用。供应商漏报、少报、不报均自行承担责任。报价以元为单位，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83" w:type="dxa"/>
            <w:tcBorders>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800"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安全责任</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本项目实施过程中因供应商自身原因造成的安全责任全部自行负责，采购人不承担任何责任。供应商应为本项目参与人员购买工伤保险或人身意外伤害保险。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783" w:type="dxa"/>
            <w:tcBorders>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800"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质量要求</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（1）供应商须提供全新的货物，表面无划伤、无碰撞痕迹，权属清楚，不得侵害他人的知识产权。</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（2）货物必须符合或优于国家（行业）相关标准，以及本项目招标文件的技术指标要求及行业相关标准。 </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（3）保修期内货物出现质量问题，供应商应负责“三包”，费用由供应商全部承担。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4" w:hRule="atLeast"/>
          <w:jc w:val="center"/>
        </w:trPr>
        <w:tc>
          <w:tcPr>
            <w:tcW w:w="783" w:type="dxa"/>
            <w:tcBorders>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800" w:type="dxa"/>
            <w:tcBorders>
              <w:left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57" w:type="dxa"/>
            <w:tcBorders>
              <w:left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 违约责任与解决争议的方法</w:t>
            </w:r>
          </w:p>
        </w:tc>
        <w:tc>
          <w:tcPr>
            <w:tcW w:w="6699" w:type="dxa"/>
            <w:tcBorders>
              <w:lef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1.甲方违约责任： （1）甲方无正当理由拒收货物的，甲方应偿付合同总价百分之五的违约金； （2）甲方逾期支付货款的，除应及时付足货款外，应向乙方偿付欠款总额万分之一/天的违约金； （3）甲方偿付的违约金不足以弥补乙方损失的，还应按乙方损失尚未弥补的部分，支付赔偿金给乙方。 </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违约责任：（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一/天的违约金。逾期交货超过15天，甲方有权终止合同，乙方则应按合同总价的百分之五的款额向甲方偿付赔偿金，并须全额退还甲方已经支付给乙方的货款及其利息。（3）双方对货物质量存在异议的，乙方货物经甲方送交具有法定资格条件的质量技术监督机构检测后，如检测结果认定货物质量不符合本合同规定标准的，则视为乙方没有按时交货而违约，乙方须在15天内无条件更换合格的货物，如逾期不能更换合格的货物，甲方有权终止本合同，乙方应另付合同总价的百分之五的赔偿金给甲方。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 （5）乙方偿付的违约金不足以弥补甲方损失的，还应就甲方损失尚未弥补的部分，支付赔偿金给甲方。 3.争议解决办法： （1）因货物的质量问题发生争议，由质量技术监督部门或其指定的质量鉴定机构进行质量鉴定。货物符合标准的，鉴定费由甲方承担；货物不符合质量标准的，鉴定费由乙方承担。 （2）合同履行期间若双方发生争议，可协商或由有关部门调解解决；协商或调解不成的，任何一方均可向南江县人民法院提起诉讼，因诉讼产生的律师费、诉讼费、鉴定费等必要费用由败诉方承担。 （3）法院判决应为最终决定，并对双方具有约束力。 （4）除另有判决外，诉讼费应由败诉方负担。 （5）在诉讼期间，除正在进行诉讼部分外，合同其他部分继续执行。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783" w:type="dxa"/>
            <w:tcBorders>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800"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p>
        </w:tc>
        <w:tc>
          <w:tcPr>
            <w:tcW w:w="1357" w:type="dxa"/>
            <w:tcBorders>
              <w:left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 其他要求</w:t>
            </w:r>
          </w:p>
        </w:tc>
        <w:tc>
          <w:tcPr>
            <w:tcW w:w="6699" w:type="dxa"/>
            <w:tcBorders>
              <w:lef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★1、本项目所引相关标准，在本项目采购过程中有变化的，按照变化后的规定执行。</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国家或行业主管部门对供应商提供的产品和服务事项的技术标准、质量标准和资格资质条件等有强制性规定的，必须符合其要求。响应产品属于《国家强制性产品认证目录》范围内的，供货时提供有效期内的CCC认证证书复印件并加盖供应商鲜章。</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资料真实性：供应商对所提供的各类证明文件、资质证书等资料的真实性负责。成交后采购人有权向供应商索取响应文件中各类证明文件、资质证书等资料的原件进行核验。若出现虚假响应的情况，供应商自行承担相应责任。</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4.其他未明事项双方协商一致后在合同中约定。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40F93"/>
    <w:rsid w:val="5EF4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customStyle="1" w:styleId="4">
    <w:name w:val="首行缩进"/>
    <w:basedOn w:val="1"/>
    <w:qFormat/>
    <w:uiPriority w:val="0"/>
    <w:pPr>
      <w:spacing w:afterLines="50" w:line="300" w:lineRule="auto"/>
      <w:ind w:firstLine="200" w:firstLineChars="200"/>
    </w:pPr>
  </w:style>
  <w:style w:type="paragraph" w:styleId="5">
    <w:name w:val="Body Text"/>
    <w:basedOn w:val="1"/>
    <w:next w:val="1"/>
    <w:qFormat/>
    <w:uiPriority w:val="0"/>
    <w:pPr>
      <w:spacing w:after="120"/>
    </w:pPr>
  </w:style>
  <w:style w:type="table" w:styleId="7">
    <w:name w:val="Table Grid"/>
    <w:basedOn w:val="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BodyText"/>
    <w:basedOn w:val="1"/>
    <w:qFormat/>
    <w:uiPriority w:val="0"/>
    <w:pPr>
      <w:widowControl/>
      <w:jc w:val="both"/>
      <w:textAlignment w:val="baseline"/>
    </w:pPr>
    <w:rPr>
      <w:sz w:val="21"/>
      <w:szCs w:val="21"/>
      <w:lang w:bidi="ar-SA"/>
    </w:rPr>
  </w:style>
  <w:style w:type="paragraph" w:customStyle="1" w:styleId="10">
    <w:name w:val="Default"/>
    <w:qFormat/>
    <w:uiPriority w:val="0"/>
    <w:pPr>
      <w:widowControl w:val="0"/>
      <w:autoSpaceDE w:val="0"/>
      <w:autoSpaceDN w:val="0"/>
      <w:adjustRightInd w:val="0"/>
    </w:pPr>
    <w:rPr>
      <w:rFonts w:ascii="仿宋_GB2312" w:hAnsi="Calibri" w:eastAsia="仿宋_GB2312" w:cs="Times New Roman"/>
      <w:color w:val="000000"/>
      <w:kern w:val="2"/>
      <w:sz w:val="24"/>
      <w:szCs w:val="22"/>
      <w:lang w:val="en-US" w:eastAsia="zh-CN" w:bidi="ar-SA"/>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2026-07-06T09:07:00Z</dcterms:created>
  <dc:creator>Administrator</dc:creator>
  <cp:lastModifiedBy>Administrator</cp:lastModifiedBy>
  <dcterms:modified xsi:type="dcterms:W3CDTF">2026-07-06T09:08:04Z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