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7BE87">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磁共振维保服务</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NYCG-2510-ZB-02</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line="240" w:lineRule="auto"/>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80" w:lineRule="exact"/>
        <w:ind w:right="0"/>
        <w:jc w:val="center"/>
        <w:textAlignment w:val="baseline"/>
        <w:outlineLvl w:val="0"/>
        <w:rPr>
          <w:rFonts w:hint="eastAsia" w:ascii="仿宋_GB2312" w:hAnsi="仿宋_GB2312" w:eastAsia="仿宋_GB2312" w:cs="仿宋_GB2312"/>
          <w:b w:val="0"/>
          <w:bCs w:val="0"/>
          <w:color w:val="auto"/>
          <w:sz w:val="28"/>
          <w:szCs w:val="28"/>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16F7CA76">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价方式对南江县人民医院磁共振维保服务院内采购项目</w:t>
      </w:r>
      <w:r>
        <w:rPr>
          <w:rFonts w:hint="eastAsia" w:ascii="仿宋_GB2312" w:hAnsi="仿宋_GB2312" w:eastAsia="仿宋_GB2312" w:cs="仿宋_GB2312"/>
          <w:color w:val="auto"/>
          <w:spacing w:val="13"/>
          <w:sz w:val="28"/>
          <w:szCs w:val="28"/>
        </w:rPr>
        <w:t>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60B0806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default" w:ascii="仿宋_GB2312" w:hAnsi="仿宋_GB2312" w:eastAsia="仿宋_GB2312" w:cs="仿宋_GB2312"/>
          <w:color w:val="auto"/>
          <w:spacing w:val="14"/>
          <w:sz w:val="28"/>
          <w:szCs w:val="28"/>
          <w:lang w:val="en-US" w:eastAsia="zh-CN"/>
        </w:rPr>
      </w:pPr>
      <w:r>
        <w:rPr>
          <w:rFonts w:hint="eastAsia" w:ascii="黑体" w:hAnsi="黑体" w:eastAsia="黑体" w:cs="黑体"/>
          <w:color w:val="auto"/>
          <w:spacing w:val="-6"/>
          <w:sz w:val="28"/>
          <w:szCs w:val="28"/>
          <w:lang w:val="en-US" w:eastAsia="zh-CN"/>
        </w:rPr>
        <w:t>一、</w:t>
      </w:r>
      <w:r>
        <w:rPr>
          <w:rFonts w:hint="eastAsia" w:ascii="黑体" w:hAnsi="黑体" w:eastAsia="黑体" w:cs="黑体"/>
          <w:color w:val="auto"/>
          <w:spacing w:val="-6"/>
          <w:sz w:val="28"/>
          <w:szCs w:val="28"/>
        </w:rPr>
        <w:t>采购编号：</w:t>
      </w:r>
      <w:r>
        <w:rPr>
          <w:rFonts w:hint="eastAsia" w:ascii="仿宋_GB2312" w:hAnsi="仿宋_GB2312" w:eastAsia="仿宋_GB2312" w:cs="仿宋_GB2312"/>
          <w:color w:val="auto"/>
          <w:spacing w:val="14"/>
          <w:sz w:val="28"/>
          <w:szCs w:val="28"/>
          <w:lang w:val="en-US" w:eastAsia="zh-CN"/>
        </w:rPr>
        <w:t>NYCG-2510-ZB-02</w:t>
      </w:r>
    </w:p>
    <w:p w14:paraId="449F2AAF">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仿宋_GB2312" w:hAnsi="仿宋_GB2312" w:eastAsia="仿宋_GB2312" w:cs="仿宋_GB2312"/>
          <w:color w:val="auto"/>
          <w:sz w:val="28"/>
          <w:szCs w:val="28"/>
          <w:lang w:val="en-US" w:eastAsia="zh-CN"/>
        </w:rPr>
      </w:pPr>
      <w:r>
        <w:rPr>
          <w:rFonts w:hint="eastAsia" w:ascii="黑体" w:hAnsi="黑体" w:eastAsia="黑体" w:cs="黑体"/>
          <w:color w:val="auto"/>
          <w:spacing w:val="-6"/>
          <w:sz w:val="28"/>
          <w:szCs w:val="28"/>
          <w:lang w:val="en-US" w:eastAsia="zh-CN"/>
        </w:rPr>
        <w:t>二、采购项目名称：</w:t>
      </w:r>
      <w:r>
        <w:rPr>
          <w:rFonts w:hint="eastAsia" w:ascii="仿宋_GB2312" w:hAnsi="仿宋_GB2312" w:eastAsia="仿宋_GB2312" w:cs="仿宋_GB2312"/>
          <w:color w:val="auto"/>
          <w:spacing w:val="3"/>
          <w:sz w:val="28"/>
          <w:szCs w:val="28"/>
          <w:lang w:val="en-US" w:eastAsia="zh-CN"/>
        </w:rPr>
        <w:t>南江县人民医院磁共振维保服务院内采购项目</w:t>
      </w:r>
    </w:p>
    <w:p w14:paraId="0492D61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仿宋_GB2312" w:hAnsi="仿宋_GB2312" w:eastAsia="仿宋_GB2312" w:cs="仿宋_GB2312"/>
          <w:color w:val="auto"/>
          <w:sz w:val="28"/>
          <w:szCs w:val="28"/>
          <w:lang w:val="en-US" w:eastAsia="zh-CN"/>
        </w:rPr>
      </w:pPr>
      <w:r>
        <w:rPr>
          <w:rFonts w:hint="eastAsia" w:ascii="黑体" w:hAnsi="黑体" w:eastAsia="黑体" w:cs="黑体"/>
          <w:color w:val="auto"/>
          <w:spacing w:val="-6"/>
          <w:sz w:val="28"/>
          <w:szCs w:val="28"/>
          <w:lang w:val="en-US" w:eastAsia="zh-CN"/>
        </w:rPr>
        <w:t>三、采购项目概况：</w:t>
      </w:r>
      <w:r>
        <w:rPr>
          <w:rFonts w:hint="eastAsia" w:ascii="仿宋_GB2312" w:hAnsi="仿宋_GB2312" w:eastAsia="仿宋_GB2312" w:cs="仿宋_GB2312"/>
          <w:color w:val="auto"/>
          <w:spacing w:val="-1"/>
          <w:sz w:val="28"/>
          <w:szCs w:val="28"/>
          <w:lang w:val="en-US" w:eastAsia="zh-CN"/>
        </w:rPr>
        <w:t>磁共振维保服务</w:t>
      </w:r>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left="0" w:leftChars="0" w:right="0" w:rightChars="0" w:firstLine="536" w:firstLineChars="200"/>
        <w:jc w:val="both"/>
        <w:textAlignment w:val="baseline"/>
        <w:rPr>
          <w:rFonts w:hint="eastAsia" w:ascii="仿宋_GB2312" w:hAnsi="仿宋_GB2312" w:eastAsia="仿宋_GB2312" w:cs="仿宋_GB2312"/>
          <w:color w:val="auto"/>
          <w:spacing w:val="2"/>
          <w:sz w:val="28"/>
          <w:szCs w:val="28"/>
        </w:rPr>
      </w:pPr>
      <w:r>
        <w:rPr>
          <w:rFonts w:hint="eastAsia" w:ascii="黑体" w:hAnsi="黑体" w:eastAsia="黑体" w:cs="黑体"/>
          <w:color w:val="auto"/>
          <w:spacing w:val="-6"/>
          <w:sz w:val="28"/>
          <w:szCs w:val="28"/>
          <w:lang w:val="en-US" w:eastAsia="zh-CN"/>
        </w:rPr>
        <w:t>四、最高限价：</w:t>
      </w:r>
      <w:r>
        <w:rPr>
          <w:rFonts w:hint="eastAsia" w:ascii="仿宋_GB2312" w:hAnsi="仿宋_GB2312" w:eastAsia="仿宋_GB2312" w:cs="仿宋_GB2312"/>
          <w:color w:val="auto"/>
          <w:spacing w:val="2"/>
          <w:sz w:val="28"/>
          <w:szCs w:val="28"/>
          <w:u w:val="single"/>
          <w:lang w:val="en-US" w:eastAsia="zh-CN"/>
        </w:rPr>
        <w:t>35000</w:t>
      </w:r>
      <w:r>
        <w:rPr>
          <w:rFonts w:hint="eastAsia" w:ascii="仿宋_GB2312" w:hAnsi="仿宋_GB2312" w:eastAsia="仿宋_GB2312" w:cs="仿宋_GB2312"/>
          <w:color w:val="auto"/>
          <w:spacing w:val="2"/>
          <w:sz w:val="28"/>
          <w:szCs w:val="28"/>
        </w:rPr>
        <w:t>元</w:t>
      </w:r>
      <w:r>
        <w:rPr>
          <w:rFonts w:hint="eastAsia" w:ascii="仿宋_GB2312" w:hAnsi="仿宋_GB2312" w:eastAsia="仿宋_GB2312" w:cs="仿宋_GB2312"/>
          <w:color w:val="auto"/>
          <w:spacing w:val="2"/>
          <w:sz w:val="28"/>
          <w:szCs w:val="28"/>
          <w:lang w:val="en-US" w:eastAsia="zh-CN"/>
        </w:rPr>
        <w:t>/年</w:t>
      </w:r>
      <w:r>
        <w:rPr>
          <w:rFonts w:hint="eastAsia" w:ascii="仿宋_GB2312" w:hAnsi="仿宋_GB2312" w:eastAsia="仿宋_GB2312" w:cs="仿宋_GB2312"/>
          <w:color w:val="auto"/>
          <w:spacing w:val="2"/>
          <w:sz w:val="28"/>
          <w:szCs w:val="28"/>
        </w:rPr>
        <w:t>。报价金额高于最高限价视为无效报价。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left="0" w:leftChars="0" w:right="0" w:rightChars="0" w:firstLine="536" w:firstLineChars="200"/>
        <w:jc w:val="both"/>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五、参加竞价的方式：</w:t>
      </w:r>
      <w:r>
        <w:rPr>
          <w:rFonts w:hint="eastAsia" w:ascii="仿宋_GB2312" w:hAnsi="仿宋_GB2312" w:eastAsia="仿宋_GB2312" w:cs="仿宋_GB2312"/>
          <w:color w:val="auto"/>
          <w:spacing w:val="6"/>
          <w:sz w:val="28"/>
          <w:szCs w:val="28"/>
        </w:rPr>
        <w:t>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六、参加本次采购活动应具备的条件：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61AB80E8">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参照《中华人民共和国政府采购法》第二十二条规定</w:t>
      </w:r>
      <w:r>
        <w:rPr>
          <w:rFonts w:hint="eastAsia" w:ascii="仿宋_GB2312" w:hAnsi="仿宋_GB2312" w:eastAsia="仿宋_GB2312" w:cs="仿宋_GB2312"/>
          <w:color w:val="auto"/>
          <w:sz w:val="28"/>
          <w:szCs w:val="28"/>
          <w:lang w:eastAsia="zh-CN"/>
        </w:rPr>
        <w:t>。</w:t>
      </w:r>
    </w:p>
    <w:p w14:paraId="7547F325">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★七、本项目的特定资格要求：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★八、技术要求（参数）：</w:t>
      </w:r>
    </w:p>
    <w:p w14:paraId="13042E25">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提供人工技术保养、备件维修更换服务、全年不限次数叫修服务、定期现场预防性维护保养、远程技术支持、软件升级及维保需完善的软件资料等服务。</w:t>
      </w:r>
    </w:p>
    <w:p w14:paraId="6C5CA551">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1.及时响应：具备客户服务专线电话，24小时*365天有工程师接，拨打电话后1小时内，工程师应回电协助医院人员即时诊断故障解决问题。在电话支持不能解决故障的情况下，应派遣工程师赴现场维修相关设备，工程师应不超过24小时内到达现场。如诊断出需要更换零备件</w:t>
      </w:r>
      <w:bookmarkStart w:id="57" w:name="_GoBack"/>
      <w:bookmarkEnd w:id="57"/>
      <w:r>
        <w:rPr>
          <w:rFonts w:hint="eastAsia" w:ascii="仿宋_GB2312" w:hAnsi="仿宋_GB2312" w:eastAsia="仿宋_GB2312" w:cs="仿宋_GB2312"/>
          <w:color w:val="auto"/>
          <w:spacing w:val="4"/>
          <w:sz w:val="28"/>
          <w:szCs w:val="28"/>
          <w:lang w:val="en-US" w:eastAsia="zh-CN"/>
        </w:rPr>
        <w:t>后，常规零备件到达的时间最长不超过48小时。</w:t>
      </w:r>
    </w:p>
    <w:p w14:paraId="19288320">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2.开机率：整机设备维保期内保证不低于95%的开机率（停机时间少于5%，按一年365日计算。如果此开机率由于维保公司的原因未能达到，停机时间超过一天保修期延长10天。</w:t>
      </w:r>
    </w:p>
    <w:p w14:paraId="363E9997">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3.定期预防性保养维护：维保期内供应商对该所保修设备提供不低于每年四次保养（每季度不低于一次），确保设备正常运行；定期保养包括但不限于：设备的清洁、性能测试及校准、必要的机械或电气的检查，以及非紧急性质的预防性维护，和确保系统能按照制造商的产品规格运行的其他维护。保养维护完成后形成报告提交给相关科室。</w:t>
      </w:r>
    </w:p>
    <w:p w14:paraId="367EF137">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4.维保公司应具备磁体维护、维修能力，应具备磁体培训资质，提供至少一名维修人员具备原厂磁体培训证书。</w:t>
      </w:r>
    </w:p>
    <w:p w14:paraId="0C36EE3E">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5.维保公司应具备MR系统维修能力，提供至少两名维修人员具备原厂MR系统培训证书、一名维修人员具备原厂MR系统专家级培训证书。</w:t>
      </w:r>
    </w:p>
    <w:p w14:paraId="733B48B9">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6.为保障设备的性能及运行安全，维保公司保证所更换的备件是同规格型号的原厂备件，且设备备件市场价格低于1000元由维保公司免费更换，备件价格高于1000元的须在GE原厂价格基础上优惠不低于7折。同时为保障及时性维保公司在国内需设有零备件仓库（</w:t>
      </w:r>
      <w:r>
        <w:rPr>
          <w:rFonts w:hint="eastAsia" w:ascii="仿宋_GB2312" w:hAnsi="仿宋_GB2312" w:eastAsia="仿宋_GB2312" w:cs="仿宋_GB2312"/>
          <w:b/>
          <w:bCs/>
          <w:color w:val="auto"/>
          <w:spacing w:val="4"/>
          <w:sz w:val="28"/>
          <w:szCs w:val="28"/>
          <w:lang w:val="en-US" w:eastAsia="zh-CN"/>
        </w:rPr>
        <w:t>提供图片等说明文件或承诺函</w:t>
      </w:r>
      <w:r>
        <w:rPr>
          <w:rFonts w:hint="eastAsia" w:ascii="仿宋_GB2312" w:hAnsi="仿宋_GB2312" w:eastAsia="仿宋_GB2312" w:cs="仿宋_GB2312"/>
          <w:color w:val="auto"/>
          <w:spacing w:val="4"/>
          <w:sz w:val="28"/>
          <w:szCs w:val="28"/>
          <w:lang w:val="en-US" w:eastAsia="zh-CN"/>
        </w:rPr>
        <w:t>）。</w:t>
      </w:r>
    </w:p>
    <w:p w14:paraId="69CB1356">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7.为确保磁体运行安全，维修公司应取得制冷系统制造商（水冷机、氦压缩机、精密空调）原厂零备件供应以及维修授权。</w:t>
      </w:r>
    </w:p>
    <w:p w14:paraId="5329C019">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8.维保公司应具备射频线圈维护、维修能力，需提供至少一名维修人员具备射频线圈原厂培训证书。维保公司在维修线圈期间应提供代用线圈供医院使用保证设备正常运行。</w:t>
      </w:r>
    </w:p>
    <w:p w14:paraId="1B84A3CC">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9.远程监控：能够远程监控设备运行状态，发现问题及时通知医院进行处置。（</w:t>
      </w:r>
      <w:r>
        <w:rPr>
          <w:rFonts w:hint="eastAsia" w:ascii="仿宋_GB2312" w:hAnsi="仿宋_GB2312" w:eastAsia="仿宋_GB2312" w:cs="仿宋_GB2312"/>
          <w:b/>
          <w:bCs/>
          <w:color w:val="auto"/>
          <w:spacing w:val="4"/>
          <w:sz w:val="28"/>
          <w:szCs w:val="28"/>
          <w:lang w:val="en-US" w:eastAsia="zh-CN"/>
        </w:rPr>
        <w:t>需提供相关远程监控介绍及证明文件</w:t>
      </w:r>
      <w:r>
        <w:rPr>
          <w:rFonts w:hint="eastAsia" w:ascii="仿宋_GB2312" w:hAnsi="仿宋_GB2312" w:eastAsia="仿宋_GB2312" w:cs="仿宋_GB2312"/>
          <w:color w:val="auto"/>
          <w:spacing w:val="4"/>
          <w:sz w:val="28"/>
          <w:szCs w:val="28"/>
          <w:lang w:val="en-US" w:eastAsia="zh-CN"/>
        </w:rPr>
        <w:t>）</w:t>
      </w:r>
    </w:p>
    <w:p w14:paraId="4EC4C052">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10.软件升级：需与原厂同步，软件系统免费升级。</w:t>
      </w:r>
    </w:p>
    <w:p w14:paraId="1256CFE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11.软件资料：每次维修、维保结束后需完善提供相应的维修、维保记录等软件资料。</w:t>
      </w:r>
    </w:p>
    <w:p w14:paraId="39CB773F">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12.如维保公司在维保服务期间发生导致设备重大损坏（如导致磁体损坏、设备报废等）的维修事故，需全额承担事故所造成的全部损失（</w:t>
      </w:r>
      <w:r>
        <w:rPr>
          <w:rFonts w:hint="eastAsia" w:ascii="仿宋_GB2312" w:hAnsi="仿宋_GB2312" w:eastAsia="仿宋_GB2312" w:cs="仿宋_GB2312"/>
          <w:b/>
          <w:bCs/>
          <w:color w:val="auto"/>
          <w:spacing w:val="4"/>
          <w:sz w:val="28"/>
          <w:szCs w:val="28"/>
          <w:lang w:val="en-US" w:eastAsia="zh-CN"/>
        </w:rPr>
        <w:t>提供承诺函</w:t>
      </w:r>
      <w:r>
        <w:rPr>
          <w:rFonts w:hint="eastAsia" w:ascii="仿宋_GB2312" w:hAnsi="仿宋_GB2312" w:eastAsia="仿宋_GB2312" w:cs="仿宋_GB2312"/>
          <w:color w:val="auto"/>
          <w:spacing w:val="4"/>
          <w:sz w:val="28"/>
          <w:szCs w:val="28"/>
          <w:lang w:val="en-US" w:eastAsia="zh-CN"/>
        </w:rPr>
        <w:t>）。</w:t>
      </w:r>
    </w:p>
    <w:p w14:paraId="16C096D1">
      <w:pPr>
        <w:keepNext w:val="0"/>
        <w:keepLines w:val="0"/>
        <w:pageBreakBefore w:val="0"/>
        <w:widowControl/>
        <w:kinsoku w:val="0"/>
        <w:wordWrap/>
        <w:overflowPunct/>
        <w:topLinePunct w:val="0"/>
        <w:autoSpaceDE w:val="0"/>
        <w:autoSpaceDN w:val="0"/>
        <w:bidi w:val="0"/>
        <w:adjustRightInd w:val="0"/>
        <w:snapToGrid w:val="0"/>
        <w:spacing w:line="480" w:lineRule="exact"/>
        <w:ind w:firstLine="536" w:firstLineChars="200"/>
        <w:textAlignment w:val="baseline"/>
        <w:rPr>
          <w:rFonts w:hint="default" w:ascii="仿宋_GB2312" w:hAnsi="仿宋_GB2312" w:eastAsia="仿宋_GB2312" w:cs="仿宋_GB2312"/>
          <w:color w:val="auto"/>
          <w:sz w:val="28"/>
          <w:szCs w:val="28"/>
          <w:lang w:val="en-US" w:eastAsia="zh-CN"/>
        </w:rPr>
      </w:pPr>
      <w:r>
        <w:rPr>
          <w:rFonts w:hint="eastAsia" w:ascii="黑体" w:hAnsi="黑体" w:eastAsia="黑体" w:cs="黑体"/>
          <w:color w:val="auto"/>
          <w:spacing w:val="-6"/>
          <w:sz w:val="28"/>
          <w:szCs w:val="28"/>
          <w:lang w:val="en-US" w:eastAsia="zh-CN"/>
        </w:rPr>
        <w:t>九、响应文件的组成：</w:t>
      </w:r>
      <w:r>
        <w:rPr>
          <w:rFonts w:hint="eastAsia" w:ascii="仿宋_GB2312" w:hAnsi="仿宋_GB2312" w:eastAsia="仿宋_GB2312" w:cs="仿宋_GB2312"/>
          <w:color w:val="auto"/>
          <w:sz w:val="28"/>
          <w:szCs w:val="28"/>
        </w:rPr>
        <w:t>详见第二章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sz w:val="28"/>
          <w:szCs w:val="28"/>
          <w:lang w:val="en-US" w:eastAsia="zh-CN"/>
        </w:rPr>
        <w:t>响应文件正、副本各一本</w:t>
      </w:r>
      <w:r>
        <w:rPr>
          <w:rFonts w:hint="eastAsia" w:ascii="仿宋_GB2312" w:hAnsi="仿宋_GB2312" w:eastAsia="仿宋_GB2312" w:cs="仿宋_GB2312"/>
          <w:color w:val="auto"/>
          <w:sz w:val="28"/>
          <w:szCs w:val="28"/>
          <w:lang w:val="en-US" w:eastAsia="zh-CN"/>
        </w:rPr>
        <w:t>。</w:t>
      </w:r>
    </w:p>
    <w:p w14:paraId="584517E9">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十、开标时间及地点：</w:t>
      </w:r>
    </w:p>
    <w:p w14:paraId="6E21BA0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00</w:t>
      </w:r>
    </w:p>
    <w:p w14:paraId="0FFB3A77">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14:paraId="3FF65758">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联系人：张先生  联系电话：0827-8228745  15536984060</w:t>
      </w:r>
    </w:p>
    <w:p w14:paraId="3989BC63">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52826704">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响应文件的递交：供应商应在竞（议）价采购文件规定的提交响应文件截止时间前，将响应文件密封后送达谈判地点，现场递交响应文件。在规定的递交响应文件截止时间后送达的响应文件，为无效响应文件，不予接收。</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十一、报价方式：</w:t>
      </w:r>
      <w:r>
        <w:rPr>
          <w:rFonts w:hint="eastAsia" w:ascii="仿宋_GB2312" w:hAnsi="仿宋_GB2312" w:eastAsia="仿宋_GB2312" w:cs="仿宋_GB2312"/>
          <w:color w:val="auto"/>
          <w:spacing w:val="8"/>
          <w:sz w:val="28"/>
          <w:szCs w:val="28"/>
        </w:rPr>
        <w:t>报名供应商</w:t>
      </w:r>
      <w:r>
        <w:rPr>
          <w:rFonts w:hint="eastAsia" w:ascii="仿宋_GB2312" w:hAnsi="仿宋_GB2312" w:eastAsia="仿宋_GB2312" w:cs="仿宋_GB2312"/>
          <w:color w:val="auto"/>
          <w:spacing w:val="8"/>
          <w:sz w:val="28"/>
          <w:szCs w:val="28"/>
          <w:lang w:val="en-US" w:eastAsia="zh-CN"/>
        </w:rPr>
        <w:t>经资格核查后，有效供应商</w:t>
      </w:r>
      <w:r>
        <w:rPr>
          <w:rFonts w:hint="eastAsia" w:ascii="仿宋_GB2312" w:hAnsi="仿宋_GB2312" w:eastAsia="仿宋_GB2312" w:cs="仿宋_GB2312"/>
          <w:color w:val="auto"/>
          <w:spacing w:val="8"/>
          <w:sz w:val="28"/>
          <w:szCs w:val="28"/>
        </w:rPr>
        <w:t>现场</w:t>
      </w:r>
      <w:r>
        <w:rPr>
          <w:rFonts w:hint="eastAsia" w:ascii="仿宋_GB2312" w:hAnsi="仿宋_GB2312" w:eastAsia="仿宋_GB2312" w:cs="仿宋_GB2312"/>
          <w:color w:val="auto"/>
          <w:spacing w:val="8"/>
          <w:sz w:val="28"/>
          <w:szCs w:val="28"/>
          <w:lang w:val="en-US" w:eastAsia="zh-CN"/>
        </w:rPr>
        <w:t>二次</w:t>
      </w:r>
      <w:r>
        <w:rPr>
          <w:rFonts w:hint="eastAsia" w:ascii="仿宋_GB2312" w:hAnsi="仿宋_GB2312" w:eastAsia="仿宋_GB2312" w:cs="仿宋_GB2312"/>
          <w:color w:val="auto"/>
          <w:spacing w:val="8"/>
          <w:sz w:val="28"/>
          <w:szCs w:val="28"/>
        </w:rPr>
        <w:t>报价。按最终报价由低到高排序，</w:t>
      </w:r>
      <w:r>
        <w:rPr>
          <w:rFonts w:hint="eastAsia" w:ascii="仿宋_GB2312" w:hAnsi="仿宋_GB2312" w:eastAsia="仿宋_GB2312" w:cs="仿宋_GB2312"/>
          <w:color w:val="auto"/>
          <w:spacing w:val="6"/>
          <w:sz w:val="28"/>
          <w:szCs w:val="28"/>
        </w:rPr>
        <w:t>报价最低者直接确定为成交单位</w:t>
      </w:r>
      <w:r>
        <w:rPr>
          <w:rFonts w:hint="eastAsia" w:ascii="仿宋_GB2312" w:hAnsi="仿宋_GB2312" w:eastAsia="仿宋_GB2312" w:cs="仿宋_GB2312"/>
          <w:color w:val="auto"/>
          <w:spacing w:val="-4"/>
          <w:sz w:val="28"/>
          <w:szCs w:val="28"/>
        </w:rPr>
        <w:t>。</w:t>
      </w:r>
    </w:p>
    <w:p w14:paraId="35D55A71">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★十二、商务要求</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115"/>
        <w:gridCol w:w="6409"/>
      </w:tblGrid>
      <w:tr w14:paraId="7017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55" w:type="dxa"/>
            <w:vAlign w:val="center"/>
          </w:tcPr>
          <w:p w14:paraId="79E00512">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序号</w:t>
            </w:r>
          </w:p>
        </w:tc>
        <w:tc>
          <w:tcPr>
            <w:tcW w:w="2115" w:type="dxa"/>
            <w:vAlign w:val="center"/>
          </w:tcPr>
          <w:p w14:paraId="2DE07852">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商务要求名称</w:t>
            </w:r>
          </w:p>
        </w:tc>
        <w:tc>
          <w:tcPr>
            <w:tcW w:w="6409" w:type="dxa"/>
            <w:vAlign w:val="center"/>
          </w:tcPr>
          <w:p w14:paraId="0C5929F0">
            <w:pPr>
              <w:keepNext w:val="0"/>
              <w:keepLines w:val="0"/>
              <w:pageBreakBefore w:val="0"/>
              <w:widowControl/>
              <w:kinsoku/>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商务要求内容</w:t>
            </w:r>
          </w:p>
        </w:tc>
      </w:tr>
      <w:tr w14:paraId="0021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Align w:val="center"/>
          </w:tcPr>
          <w:p w14:paraId="7ABCB96E">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1</w:t>
            </w:r>
          </w:p>
        </w:tc>
        <w:tc>
          <w:tcPr>
            <w:tcW w:w="2115" w:type="dxa"/>
            <w:tcBorders>
              <w:left w:val="single" w:color="auto" w:sz="4" w:space="0"/>
            </w:tcBorders>
            <w:vAlign w:val="center"/>
          </w:tcPr>
          <w:p w14:paraId="6AEACCC8">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服务时间</w:t>
            </w:r>
          </w:p>
        </w:tc>
        <w:tc>
          <w:tcPr>
            <w:tcW w:w="6409" w:type="dxa"/>
            <w:tcBorders>
              <w:left w:val="single" w:color="auto" w:sz="4" w:space="0"/>
            </w:tcBorders>
          </w:tcPr>
          <w:p w14:paraId="69F20AD9">
            <w:pPr>
              <w:keepNext w:val="0"/>
              <w:keepLines w:val="0"/>
              <w:pageBreakBefore w:val="0"/>
              <w:widowControl/>
              <w:kinsoku/>
              <w:overflowPunct/>
              <w:topLinePunct w:val="0"/>
              <w:autoSpaceDE/>
              <w:autoSpaceDN/>
              <w:bidi w:val="0"/>
              <w:adjustRightInd/>
              <w:snapToGrid/>
              <w:spacing w:line="480" w:lineRule="exact"/>
              <w:ind w:right="-475" w:rightChars="-226"/>
              <w:jc w:val="both"/>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三年，合同一年一签订，根据技术服务要求完成当年服务内容后，续签下一年合同。</w:t>
            </w:r>
          </w:p>
        </w:tc>
      </w:tr>
      <w:tr w14:paraId="0EDC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Align w:val="center"/>
          </w:tcPr>
          <w:p w14:paraId="7F95401B">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2</w:t>
            </w:r>
          </w:p>
        </w:tc>
        <w:tc>
          <w:tcPr>
            <w:tcW w:w="2115" w:type="dxa"/>
            <w:tcBorders>
              <w:left w:val="single" w:color="auto" w:sz="4" w:space="0"/>
            </w:tcBorders>
            <w:vAlign w:val="center"/>
          </w:tcPr>
          <w:p w14:paraId="6691EC99">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服务地点</w:t>
            </w:r>
          </w:p>
        </w:tc>
        <w:tc>
          <w:tcPr>
            <w:tcW w:w="6409" w:type="dxa"/>
            <w:tcBorders>
              <w:left w:val="single" w:color="auto" w:sz="4" w:space="0"/>
            </w:tcBorders>
          </w:tcPr>
          <w:p w14:paraId="08E34E33">
            <w:pPr>
              <w:keepNext w:val="0"/>
              <w:keepLines w:val="0"/>
              <w:pageBreakBefore w:val="0"/>
              <w:widowControl/>
              <w:kinsoku/>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南江县人民医院。</w:t>
            </w:r>
          </w:p>
        </w:tc>
      </w:tr>
      <w:tr w14:paraId="5784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Align w:val="center"/>
          </w:tcPr>
          <w:p w14:paraId="5BAACF05">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3</w:t>
            </w:r>
          </w:p>
        </w:tc>
        <w:tc>
          <w:tcPr>
            <w:tcW w:w="2115" w:type="dxa"/>
            <w:tcBorders>
              <w:left w:val="single" w:color="auto" w:sz="4" w:space="0"/>
            </w:tcBorders>
            <w:vAlign w:val="center"/>
          </w:tcPr>
          <w:p w14:paraId="7608575E">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支付方式</w:t>
            </w:r>
          </w:p>
        </w:tc>
        <w:tc>
          <w:tcPr>
            <w:tcW w:w="6409" w:type="dxa"/>
            <w:tcBorders>
              <w:left w:val="single" w:color="auto" w:sz="4" w:space="0"/>
            </w:tcBorders>
          </w:tcPr>
          <w:p w14:paraId="68C69075">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both"/>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按年度支付，合同签订生效且成交供应商维护满6个月后，支付当年合同金额的50%；维保满1年，采购人验收合格后，支付当年合同金额的50%。</w:t>
            </w:r>
          </w:p>
        </w:tc>
      </w:tr>
      <w:tr w14:paraId="40D0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Align w:val="center"/>
          </w:tcPr>
          <w:p w14:paraId="6C198543">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4</w:t>
            </w:r>
          </w:p>
        </w:tc>
        <w:tc>
          <w:tcPr>
            <w:tcW w:w="2115" w:type="dxa"/>
            <w:tcBorders>
              <w:left w:val="single" w:color="auto" w:sz="4" w:space="0"/>
            </w:tcBorders>
            <w:vAlign w:val="center"/>
          </w:tcPr>
          <w:p w14:paraId="7F02D65C">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验收、交付标准和方法</w:t>
            </w:r>
          </w:p>
        </w:tc>
        <w:tc>
          <w:tcPr>
            <w:tcW w:w="6409" w:type="dxa"/>
            <w:tcBorders>
              <w:left w:val="single" w:color="auto" w:sz="4" w:space="0"/>
            </w:tcBorders>
          </w:tcPr>
          <w:p w14:paraId="65C334F0">
            <w:pPr>
              <w:keepNext w:val="0"/>
              <w:keepLines w:val="0"/>
              <w:pageBreakBefore w:val="0"/>
              <w:widowControl/>
              <w:kinsoku/>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（1）验收方式：成交供应商提出验收申请，由采购人制定验收方案并组织验收，成交供应商负责配合并参与验收，对当年服务内容一次性验收。</w:t>
            </w:r>
          </w:p>
          <w:p w14:paraId="1A9E1A13">
            <w:pPr>
              <w:keepNext w:val="0"/>
              <w:keepLines w:val="0"/>
              <w:pageBreakBefore w:val="0"/>
              <w:widowControl/>
              <w:kinsoku/>
              <w:overflowPunct/>
              <w:topLinePunct w:val="0"/>
              <w:autoSpaceDE/>
              <w:autoSpaceDN/>
              <w:bidi w:val="0"/>
              <w:adjustRightInd/>
              <w:snapToGrid/>
              <w:spacing w:line="480" w:lineRule="exac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2）验收标准：严格按照《财政部关于进一步加强政府采购需求和履约验收管理的指导意见》(川财采〔2016〕205号)、《财政部关于印发&lt;政府采购需求管理办法&gt;的通知》（财库〔2021〕22号）、《巴中市财政局关于进一步加强政府采购项目合同履约验收管理工作的通知》(巴财采〔2021〕21号)要求、采购文件要求、响应文件承诺及合同约定标准进行验收。</w:t>
            </w:r>
          </w:p>
          <w:p w14:paraId="10941D13">
            <w:pPr>
              <w:keepNext w:val="0"/>
              <w:keepLines w:val="0"/>
              <w:pageBreakBefore w:val="0"/>
              <w:widowControl/>
              <w:kinsoku/>
              <w:overflowPunct/>
              <w:topLinePunct w:val="0"/>
              <w:autoSpaceDE/>
              <w:autoSpaceDN/>
              <w:bidi w:val="0"/>
              <w:adjustRightInd/>
              <w:snapToGrid/>
              <w:spacing w:line="480" w:lineRule="exac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（3）验收内容：技术服务要求、合同履约质量等内容。</w:t>
            </w:r>
          </w:p>
          <w:p w14:paraId="6CD92B33">
            <w:pPr>
              <w:keepNext w:val="0"/>
              <w:keepLines w:val="0"/>
              <w:pageBreakBefore w:val="0"/>
              <w:widowControl/>
              <w:kinsoku/>
              <w:overflowPunct/>
              <w:topLinePunct w:val="0"/>
              <w:autoSpaceDE/>
              <w:autoSpaceDN/>
              <w:bidi w:val="0"/>
              <w:adjustRightInd/>
              <w:snapToGrid/>
              <w:spacing w:line="480" w:lineRule="exac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（4）验收结果利用：验收结果合格，双方签署验收报告，作为支付服务费依据；验收结果不合格的，由成交供应商按照双方约定的要求进行整改，直至验收合格为止。</w:t>
            </w:r>
          </w:p>
        </w:tc>
      </w:tr>
      <w:tr w14:paraId="46A8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Borders>
              <w:right w:val="single" w:color="auto" w:sz="4" w:space="0"/>
            </w:tcBorders>
            <w:vAlign w:val="center"/>
          </w:tcPr>
          <w:p w14:paraId="0D38347D">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5</w:t>
            </w:r>
          </w:p>
        </w:tc>
        <w:tc>
          <w:tcPr>
            <w:tcW w:w="2115" w:type="dxa"/>
            <w:tcBorders>
              <w:left w:val="single" w:color="auto" w:sz="4" w:space="0"/>
              <w:right w:val="single" w:color="auto" w:sz="4" w:space="0"/>
            </w:tcBorders>
            <w:vAlign w:val="center"/>
          </w:tcPr>
          <w:p w14:paraId="51E9F1F8">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报价构成</w:t>
            </w:r>
          </w:p>
        </w:tc>
        <w:tc>
          <w:tcPr>
            <w:tcW w:w="6409" w:type="dxa"/>
            <w:tcBorders>
              <w:left w:val="single" w:color="auto" w:sz="4" w:space="0"/>
            </w:tcBorders>
          </w:tcPr>
          <w:p w14:paraId="2BD4085E">
            <w:pPr>
              <w:keepNext w:val="0"/>
              <w:keepLines w:val="0"/>
              <w:pageBreakBefore w:val="0"/>
              <w:widowControl/>
              <w:kinsoku/>
              <w:overflowPunct/>
              <w:topLinePunct w:val="0"/>
              <w:autoSpaceDE/>
              <w:autoSpaceDN/>
              <w:bidi w:val="0"/>
              <w:adjustRightInd/>
              <w:snapToGrid/>
              <w:spacing w:line="480" w:lineRule="exact"/>
              <w:textAlignment w:val="auto"/>
              <w:rPr>
                <w:rFonts w:hint="eastAsia" w:ascii="仿宋_GB2312" w:hAnsi="仿宋_GB2312" w:eastAsia="仿宋_GB2312" w:cs="仿宋_GB2312"/>
                <w:snapToGrid w:val="0"/>
                <w:color w:val="auto"/>
                <w:spacing w:val="8"/>
                <w:kern w:val="0"/>
                <w:sz w:val="28"/>
                <w:szCs w:val="28"/>
                <w:lang w:val="zh-CN" w:eastAsia="zh-CN" w:bidi="ar-SA"/>
              </w:rPr>
            </w:pPr>
            <w:r>
              <w:rPr>
                <w:rFonts w:hint="eastAsia" w:ascii="仿宋_GB2312" w:hAnsi="仿宋_GB2312" w:eastAsia="仿宋_GB2312" w:cs="仿宋_GB2312"/>
                <w:snapToGrid w:val="0"/>
                <w:color w:val="auto"/>
                <w:spacing w:val="8"/>
                <w:kern w:val="0"/>
                <w:sz w:val="28"/>
                <w:szCs w:val="28"/>
                <w:lang w:val="en-US" w:eastAsia="zh-CN" w:bidi="ar-SA"/>
              </w:rPr>
              <w:t>供应商报价应是完成本项目的全部费用，包括服务费、保险费、设施设备费、谈判文件规定的材料（配件）费、检验（测）费、档案资料费、安全文明费、管理费、培训费、税费、差旅费等一切费用。</w:t>
            </w:r>
          </w:p>
        </w:tc>
      </w:tr>
      <w:tr w14:paraId="12A8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Borders>
              <w:right w:val="single" w:color="auto" w:sz="4" w:space="0"/>
            </w:tcBorders>
            <w:vAlign w:val="center"/>
          </w:tcPr>
          <w:p w14:paraId="31FE7F89">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6</w:t>
            </w:r>
          </w:p>
        </w:tc>
        <w:tc>
          <w:tcPr>
            <w:tcW w:w="2115" w:type="dxa"/>
            <w:tcBorders>
              <w:left w:val="single" w:color="auto" w:sz="4" w:space="0"/>
              <w:right w:val="single" w:color="auto" w:sz="4" w:space="0"/>
            </w:tcBorders>
            <w:vAlign w:val="center"/>
          </w:tcPr>
          <w:p w14:paraId="2901A5AC">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安全责任</w:t>
            </w:r>
          </w:p>
        </w:tc>
        <w:tc>
          <w:tcPr>
            <w:tcW w:w="6409" w:type="dxa"/>
            <w:tcBorders>
              <w:left w:val="single" w:color="auto" w:sz="4" w:space="0"/>
            </w:tcBorders>
          </w:tcPr>
          <w:p w14:paraId="75B2DFE1">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lef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本项目实施期间的安全责任由成交供应商全部负责，采购人不承担任何责任。（在响应文件中提供承诺函）</w:t>
            </w:r>
          </w:p>
        </w:tc>
      </w:tr>
      <w:tr w14:paraId="7AD5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Borders>
              <w:right w:val="single" w:color="auto" w:sz="4" w:space="0"/>
            </w:tcBorders>
            <w:shd w:val="clear" w:color="auto" w:fill="auto"/>
            <w:vAlign w:val="center"/>
          </w:tcPr>
          <w:p w14:paraId="5F7066F5">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7</w:t>
            </w:r>
          </w:p>
        </w:tc>
        <w:tc>
          <w:tcPr>
            <w:tcW w:w="2115" w:type="dxa"/>
            <w:tcBorders>
              <w:left w:val="single" w:color="auto" w:sz="4" w:space="0"/>
              <w:right w:val="single" w:color="auto" w:sz="4" w:space="0"/>
            </w:tcBorders>
            <w:shd w:val="clear" w:color="auto" w:fill="auto"/>
            <w:vAlign w:val="center"/>
          </w:tcPr>
          <w:p w14:paraId="077E1CC7">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left="0" w:leftChars="0"/>
              <w:jc w:val="lef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其他要求</w:t>
            </w:r>
          </w:p>
        </w:tc>
        <w:tc>
          <w:tcPr>
            <w:tcW w:w="6409" w:type="dxa"/>
            <w:tcBorders>
              <w:left w:val="single" w:color="auto" w:sz="4" w:space="0"/>
            </w:tcBorders>
            <w:shd w:val="clear" w:color="auto" w:fill="auto"/>
            <w:vAlign w:val="top"/>
          </w:tcPr>
          <w:p w14:paraId="66450DB9">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left="0" w:leftChars="0"/>
              <w:jc w:val="lef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其他未列明事项双方合同约定。</w:t>
            </w:r>
          </w:p>
        </w:tc>
      </w:tr>
      <w:tr w14:paraId="217E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tcBorders>
              <w:right w:val="single" w:color="auto" w:sz="4" w:space="0"/>
            </w:tcBorders>
            <w:shd w:val="clear" w:color="auto" w:fill="auto"/>
            <w:vAlign w:val="center"/>
          </w:tcPr>
          <w:p w14:paraId="48E487F5">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jc w:val="center"/>
              <w:textAlignment w:val="auto"/>
              <w:rPr>
                <w:rFonts w:hint="default"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8</w:t>
            </w:r>
          </w:p>
        </w:tc>
        <w:tc>
          <w:tcPr>
            <w:tcW w:w="2115" w:type="dxa"/>
            <w:tcBorders>
              <w:left w:val="single" w:color="auto" w:sz="4" w:space="0"/>
              <w:right w:val="single" w:color="auto" w:sz="4" w:space="0"/>
            </w:tcBorders>
            <w:shd w:val="clear" w:color="auto" w:fill="auto"/>
            <w:vAlign w:val="center"/>
          </w:tcPr>
          <w:p w14:paraId="5999D775">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left="0" w:leftChars="0"/>
              <w:jc w:val="lef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其他要求</w:t>
            </w:r>
          </w:p>
        </w:tc>
        <w:tc>
          <w:tcPr>
            <w:tcW w:w="6409" w:type="dxa"/>
            <w:tcBorders>
              <w:left w:val="single" w:color="auto" w:sz="4" w:space="0"/>
            </w:tcBorders>
            <w:shd w:val="clear" w:color="auto" w:fill="auto"/>
            <w:vAlign w:val="top"/>
          </w:tcPr>
          <w:p w14:paraId="3061212B">
            <w:pPr>
              <w:keepNext w:val="0"/>
              <w:keepLines w:val="0"/>
              <w:pageBreakBefore w:val="0"/>
              <w:widowControl/>
              <w:kinsoku/>
              <w:wordWrap w:val="0"/>
              <w:overflowPunct/>
              <w:topLinePunct w:val="0"/>
              <w:autoSpaceDE/>
              <w:autoSpaceDN/>
              <w:bidi w:val="0"/>
              <w:adjustRightInd/>
              <w:snapToGrid/>
              <w:spacing w:before="0" w:beforeAutospacing="0" w:after="0" w:afterAutospacing="0" w:line="480" w:lineRule="exact"/>
              <w:ind w:left="0" w:leftChars="0"/>
              <w:jc w:val="left"/>
              <w:textAlignment w:val="auto"/>
              <w:rPr>
                <w:rFonts w:hint="eastAsia" w:ascii="仿宋_GB2312" w:hAnsi="仿宋_GB2312" w:eastAsia="仿宋_GB2312" w:cs="仿宋_GB2312"/>
                <w:snapToGrid w:val="0"/>
                <w:color w:val="auto"/>
                <w:spacing w:val="8"/>
                <w:kern w:val="0"/>
                <w:sz w:val="28"/>
                <w:szCs w:val="28"/>
                <w:lang w:val="en-US" w:eastAsia="zh-CN" w:bidi="ar-SA"/>
              </w:rPr>
            </w:pPr>
            <w:r>
              <w:rPr>
                <w:rFonts w:hint="eastAsia" w:ascii="仿宋_GB2312" w:hAnsi="仿宋_GB2312" w:eastAsia="仿宋_GB2312" w:cs="仿宋_GB2312"/>
                <w:snapToGrid w:val="0"/>
                <w:color w:val="auto"/>
                <w:spacing w:val="8"/>
                <w:kern w:val="0"/>
                <w:sz w:val="28"/>
                <w:szCs w:val="28"/>
                <w:lang w:val="en-US" w:eastAsia="zh-CN" w:bidi="ar-SA"/>
              </w:rPr>
              <w:t>合同版本以医院统一版本制作合同（附件5）</w:t>
            </w:r>
          </w:p>
        </w:tc>
      </w:tr>
    </w:tbl>
    <w:p w14:paraId="38502441">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十三、本次竞（议）价项目在南江县人民医院官网上以公告形式发布。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十四、密封要求：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1192F652">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带★为实质性参数</w:t>
      </w:r>
    </w:p>
    <w:p w14:paraId="38561F00">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5B46FD50">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48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48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3.售后服务承诺函（格式自拟）。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4.</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6.</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47FF7474">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8.采购</w:t>
      </w:r>
      <w:r>
        <w:rPr>
          <w:rFonts w:hint="eastAsia" w:ascii="仿宋_GB2312" w:hAnsi="仿宋_GB2312" w:eastAsia="仿宋_GB2312" w:cs="仿宋_GB2312"/>
          <w:color w:val="auto"/>
          <w:spacing w:val="5"/>
          <w:sz w:val="28"/>
          <w:szCs w:val="28"/>
          <w:lang w:eastAsia="zh-CN"/>
        </w:rPr>
        <w:t>文件提及或供应商认为需要提供的其他材料（</w:t>
      </w:r>
      <w:r>
        <w:rPr>
          <w:rFonts w:hint="eastAsia" w:ascii="仿宋_GB2312" w:hAnsi="仿宋_GB2312" w:eastAsia="仿宋_GB2312" w:cs="仿宋_GB2312"/>
          <w:color w:val="auto"/>
          <w:spacing w:val="5"/>
          <w:sz w:val="28"/>
          <w:szCs w:val="28"/>
          <w:lang w:val="en-US" w:eastAsia="zh-CN"/>
        </w:rPr>
        <w:t>格式自拟</w:t>
      </w:r>
      <w:r>
        <w:rPr>
          <w:rFonts w:hint="eastAsia" w:ascii="仿宋_GB2312" w:hAnsi="仿宋_GB2312" w:eastAsia="仿宋_GB2312" w:cs="仿宋_GB2312"/>
          <w:color w:val="auto"/>
          <w:spacing w:val="5"/>
          <w:sz w:val="28"/>
          <w:szCs w:val="28"/>
          <w:lang w:eastAsia="zh-CN"/>
        </w:rPr>
        <w:t>）。</w:t>
      </w:r>
    </w:p>
    <w:p w14:paraId="1D886A07">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26CA7CDB">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r>
        <w:rPr>
          <w:rFonts w:hint="eastAsia" w:ascii="仿宋_GB2312" w:hAnsi="仿宋_GB2312" w:eastAsia="仿宋_GB2312" w:cs="仿宋_GB2312"/>
          <w:b/>
          <w:bCs/>
          <w:color w:val="auto"/>
          <w:spacing w:val="-10"/>
          <w:sz w:val="28"/>
          <w:szCs w:val="28"/>
          <w:lang w:eastAsia="zh-CN"/>
        </w:rPr>
        <w:t>，</w:t>
      </w:r>
      <w:r>
        <w:rPr>
          <w:rFonts w:hint="eastAsia" w:ascii="仿宋_GB2312" w:hAnsi="仿宋_GB2312" w:eastAsia="仿宋_GB2312" w:cs="仿宋_GB2312"/>
          <w:b/>
          <w:bCs/>
          <w:color w:val="auto"/>
          <w:spacing w:val="-10"/>
          <w:sz w:val="28"/>
          <w:szCs w:val="28"/>
          <w:lang w:val="en-US" w:eastAsia="zh-CN"/>
        </w:rPr>
        <w:t>未按照要求提供的视为无效</w:t>
      </w:r>
      <w:r>
        <w:rPr>
          <w:rFonts w:hint="eastAsia" w:ascii="仿宋_GB2312" w:hAnsi="仿宋_GB2312" w:eastAsia="仿宋_GB2312" w:cs="仿宋_GB2312"/>
          <w:b/>
          <w:bCs/>
          <w:color w:val="auto"/>
          <w:spacing w:val="-10"/>
          <w:sz w:val="28"/>
          <w:szCs w:val="28"/>
        </w:rPr>
        <w:t>。</w:t>
      </w:r>
    </w:p>
    <w:p w14:paraId="22A71C34">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20B5C290">
      <w:pPr>
        <w:keepNext w:val="0"/>
        <w:keepLines w:val="0"/>
        <w:pageBreakBefore w:val="0"/>
        <w:widowControl/>
        <w:kinsoku/>
        <w:wordWrap w:val="0"/>
        <w:overflowPunct/>
        <w:topLinePunct/>
        <w:autoSpaceDE/>
        <w:autoSpaceDN/>
        <w:bidi w:val="0"/>
        <w:adjustRightInd w:val="0"/>
        <w:snapToGrid w:val="0"/>
        <w:spacing w:line="480" w:lineRule="exact"/>
        <w:ind w:left="0" w:leftChars="0" w:right="0" w:firstLine="5510" w:firstLineChars="1900"/>
        <w:textAlignment w:val="baseline"/>
        <w:rPr>
          <w:rFonts w:hint="default" w:ascii="仿宋_GB2312" w:hAnsi="仿宋_GB2312" w:eastAsia="仿宋_GB2312" w:cs="仿宋_GB2312"/>
          <w:color w:val="auto"/>
          <w:spacing w:val="5"/>
          <w:sz w:val="28"/>
          <w:szCs w:val="28"/>
          <w:lang w:val="en-US" w:eastAsia="zh-CN"/>
        </w:rPr>
      </w:pPr>
    </w:p>
    <w:p w14:paraId="77B01E51">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1A1F7F2E">
      <w:pPr>
        <w:pStyle w:val="3"/>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480" w:lineRule="exact"/>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48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41E74CB7">
      <w:pPr>
        <w:keepNext w:val="0"/>
        <w:keepLines w:val="0"/>
        <w:pageBreakBefore w:val="0"/>
        <w:widowControl/>
        <w:kinsoku/>
        <w:wordWrap w:val="0"/>
        <w:overflowPunct/>
        <w:topLinePunct/>
        <w:autoSpaceDE/>
        <w:autoSpaceDN/>
        <w:bidi w:val="0"/>
        <w:adjustRightInd w:val="0"/>
        <w:snapToGrid w:val="0"/>
        <w:spacing w:before="275" w:line="480" w:lineRule="exact"/>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spacing w:line="480" w:lineRule="exact"/>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480"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480"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480" w:lineRule="exact"/>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480" w:lineRule="exact"/>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p w14:paraId="0CE139A5">
      <w:pPr>
        <w:keepNext w:val="0"/>
        <w:keepLines w:val="0"/>
        <w:pageBreakBefore w:val="0"/>
        <w:widowControl/>
        <w:kinsoku/>
        <w:wordWrap w:val="0"/>
        <w:overflowPunct/>
        <w:topLinePunct/>
        <w:autoSpaceDE/>
        <w:autoSpaceDN/>
        <w:bidi w:val="0"/>
        <w:adjustRightInd w:val="0"/>
        <w:snapToGrid w:val="0"/>
        <w:spacing w:before="76" w:line="480" w:lineRule="exact"/>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480" w:lineRule="exact"/>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480" w:lineRule="exact"/>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480" w:lineRule="exact"/>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480" w:lineRule="exact"/>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480" w:lineRule="exact"/>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480" w:lineRule="exact"/>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480" w:lineRule="exact"/>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480" w:lineRule="exact"/>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481882D2">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88" w:firstLineChars="200"/>
        <w:textAlignment w:val="baseline"/>
        <w:rPr>
          <w:rFonts w:hint="eastAsia" w:ascii="仿宋_GB2312" w:hAnsi="仿宋_GB2312" w:eastAsia="仿宋_GB2312" w:cs="仿宋_GB2312"/>
          <w:color w:val="auto"/>
          <w:sz w:val="28"/>
          <w:szCs w:val="28"/>
        </w:rPr>
        <w:sectPr>
          <w:headerReference r:id="rId9" w:type="default"/>
          <w:footerReference r:id="rId10"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1ECE2745">
      <w:pPr>
        <w:keepNext w:val="0"/>
        <w:keepLines w:val="0"/>
        <w:pageBreakBefore w:val="0"/>
        <w:widowControl/>
        <w:kinsoku/>
        <w:wordWrap w:val="0"/>
        <w:overflowPunct/>
        <w:topLinePunct/>
        <w:autoSpaceDE/>
        <w:autoSpaceDN/>
        <w:bidi w:val="0"/>
        <w:adjustRightInd w:val="0"/>
        <w:snapToGrid w:val="0"/>
        <w:spacing w:before="136" w:line="480" w:lineRule="exact"/>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48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48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48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48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48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48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48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48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48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48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207074E7">
      <w:pPr>
        <w:keepNext w:val="0"/>
        <w:keepLines w:val="0"/>
        <w:pageBreakBefore w:val="0"/>
        <w:widowControl/>
        <w:kinsoku/>
        <w:wordWrap w:val="0"/>
        <w:overflowPunct/>
        <w:topLinePunct/>
        <w:autoSpaceDE/>
        <w:autoSpaceDN/>
        <w:bidi w:val="0"/>
        <w:adjustRightInd w:val="0"/>
        <w:snapToGrid w:val="0"/>
        <w:spacing w:line="480" w:lineRule="exact"/>
        <w:ind w:right="0" w:firstLine="488" w:firstLineChars="200"/>
        <w:textAlignment w:val="baseline"/>
        <w:rPr>
          <w:rFonts w:hint="eastAsia" w:ascii="仿宋_GB2312" w:hAnsi="仿宋_GB2312" w:eastAsia="仿宋_GB2312" w:cs="仿宋_GB2312"/>
          <w:color w:val="auto"/>
          <w:sz w:val="28"/>
          <w:szCs w:val="28"/>
          <w:lang w:val="en-US" w:eastAsia="zh-CN"/>
        </w:rPr>
        <w:sectPr>
          <w:headerReference r:id="rId11" w:type="default"/>
          <w:footerReference r:id="rId12"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18"/>
          <w:sz w:val="28"/>
          <w:szCs w:val="28"/>
        </w:rPr>
        <w:t>日期：XXX年XXX月XX</w:t>
      </w:r>
      <w:r>
        <w:rPr>
          <w:rFonts w:hint="eastAsia" w:ascii="仿宋_GB2312" w:hAnsi="仿宋_GB2312" w:eastAsia="仿宋_GB2312" w:cs="仿宋_GB2312"/>
          <w:color w:val="auto"/>
          <w:spacing w:val="-18"/>
          <w:sz w:val="28"/>
          <w:szCs w:val="28"/>
          <w:lang w:val="en-US" w:eastAsia="zh-CN"/>
        </w:rPr>
        <w:t>日</w:t>
      </w:r>
    </w:p>
    <w:p w14:paraId="73D9B0F8">
      <w:pPr>
        <w:keepNext w:val="0"/>
        <w:keepLines w:val="0"/>
        <w:pageBreakBefore w:val="0"/>
        <w:widowControl/>
        <w:kinsoku/>
        <w:wordWrap w:val="0"/>
        <w:overflowPunct/>
        <w:topLinePunct/>
        <w:autoSpaceDE/>
        <w:autoSpaceDN/>
        <w:bidi w:val="0"/>
        <w:adjustRightInd w:val="0"/>
        <w:snapToGrid w:val="0"/>
        <w:spacing w:before="71" w:line="48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480" w:lineRule="exact"/>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line="480" w:lineRule="exact"/>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480" w:lineRule="exact"/>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480" w:lineRule="exact"/>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4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480" w:lineRule="exact"/>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spacing w:line="480" w:lineRule="exact"/>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48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48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48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48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48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48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48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48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08BF3A0F">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3" w:type="default"/>
          <w:footerReference r:id="rId14" w:type="default"/>
          <w:pgSz w:w="11906" w:h="16838"/>
          <w:pgMar w:top="2098" w:right="1474" w:bottom="1984" w:left="1587" w:header="851" w:footer="992" w:gutter="0"/>
          <w:pgNumType w:fmt="decimal"/>
          <w:cols w:space="425" w:num="1"/>
          <w:docGrid w:type="lines" w:linePitch="312" w:charSpace="0"/>
        </w:sectPr>
      </w:pPr>
    </w:p>
    <w:p w14:paraId="594BE4E8">
      <w:pPr>
        <w:keepNext w:val="0"/>
        <w:keepLines w:val="0"/>
        <w:pageBreakBefore w:val="0"/>
        <w:widowControl/>
        <w:kinsoku/>
        <w:wordWrap w:val="0"/>
        <w:overflowPunct/>
        <w:topLinePunct/>
        <w:autoSpaceDE/>
        <w:autoSpaceDN/>
        <w:bidi w:val="0"/>
        <w:adjustRightInd w:val="0"/>
        <w:snapToGrid w:val="0"/>
        <w:spacing w:before="72" w:line="48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48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48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48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48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48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48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48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48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48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48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48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48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48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48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48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48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48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48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48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48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48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48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3FC52C30">
      <w:pPr>
        <w:keepNext w:val="0"/>
        <w:keepLines w:val="0"/>
        <w:pageBreakBefore w:val="0"/>
        <w:widowControl/>
        <w:kinsoku/>
        <w:wordWrap w:val="0"/>
        <w:overflowPunct/>
        <w:topLinePunct/>
        <w:autoSpaceDE/>
        <w:autoSpaceDN/>
        <w:bidi w:val="0"/>
        <w:adjustRightInd w:val="0"/>
        <w:snapToGrid w:val="0"/>
        <w:spacing w:line="48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D6C7955">
      <w:pPr>
        <w:pStyle w:val="3"/>
        <w:keepNext w:val="0"/>
        <w:keepLines w:val="0"/>
        <w:pageBreakBefore w:val="0"/>
        <w:widowControl/>
        <w:kinsoku/>
        <w:wordWrap w:val="0"/>
        <w:overflowPunct/>
        <w:topLinePunct/>
        <w:autoSpaceDE/>
        <w:autoSpaceDN/>
        <w:bidi w:val="0"/>
        <w:adjustRightInd w:val="0"/>
        <w:snapToGrid w:val="0"/>
        <w:spacing w:line="48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5" w:type="default"/>
          <w:footerReference r:id="rId16" w:type="default"/>
          <w:pgSz w:w="11906" w:h="16838"/>
          <w:pgMar w:top="2098" w:right="1474" w:bottom="1984" w:left="1587" w:header="851" w:footer="992" w:gutter="0"/>
          <w:pgNumType w:fmt="decimal"/>
          <w:cols w:space="425" w:num="1"/>
          <w:docGrid w:type="lines" w:linePitch="312" w:charSpace="0"/>
        </w:sectPr>
      </w:pPr>
    </w:p>
    <w:p w14:paraId="0D92D023">
      <w:pPr>
        <w:keepNext w:val="0"/>
        <w:keepLines w:val="0"/>
        <w:pageBreakBefore w:val="0"/>
        <w:widowControl/>
        <w:kinsoku/>
        <w:wordWrap w:val="0"/>
        <w:overflowPunct/>
        <w:topLinePunct/>
        <w:autoSpaceDE/>
        <w:autoSpaceDN/>
        <w:bidi w:val="0"/>
        <w:adjustRightInd w:val="0"/>
        <w:snapToGrid w:val="0"/>
        <w:spacing w:line="480" w:lineRule="exact"/>
        <w:ind w:right="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附件5：</w:t>
      </w:r>
    </w:p>
    <w:p w14:paraId="66622194">
      <w:pPr>
        <w:keepNext w:val="0"/>
        <w:keepLines w:val="0"/>
        <w:pageBreakBefore w:val="0"/>
        <w:shd w:val="clear" w:color="auto" w:fill="FFFFFF"/>
        <w:kinsoku/>
        <w:wordWrap/>
        <w:overflowPunct/>
        <w:topLinePunct w:val="0"/>
        <w:bidi w:val="0"/>
        <w:snapToGrid w:val="0"/>
        <w:spacing w:line="48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0" w:name="_Toc217446107"/>
      <w:r>
        <w:rPr>
          <w:rFonts w:hint="eastAsia" w:ascii="方正小标宋简体" w:hAnsi="方正小标宋简体" w:eastAsia="方正小标宋简体" w:cs="方正小标宋简体"/>
          <w:b w:val="0"/>
          <w:bCs/>
          <w:color w:val="auto"/>
          <w:sz w:val="44"/>
          <w:szCs w:val="44"/>
          <w:lang w:val="en-US" w:eastAsia="zh-CN"/>
        </w:rPr>
        <w:t>采购合同（草案）</w:t>
      </w:r>
    </w:p>
    <w:bookmarkEnd w:id="0"/>
    <w:p w14:paraId="3E0634E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合同编号：</w:t>
      </w:r>
    </w:p>
    <w:p w14:paraId="0E711D2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甲方：</w:t>
      </w:r>
      <w:r>
        <w:rPr>
          <w:rFonts w:hint="eastAsia" w:ascii="仿宋" w:hAnsi="仿宋" w:eastAsia="仿宋" w:cs="仿宋"/>
          <w:b w:val="0"/>
          <w:bCs w:val="0"/>
          <w:snapToGrid/>
          <w:color w:val="auto"/>
          <w:kern w:val="2"/>
          <w:sz w:val="24"/>
          <w:szCs w:val="24"/>
          <w:lang w:val="en-US" w:eastAsia="zh-CN"/>
        </w:rPr>
        <w:t>南江县人民医院</w:t>
      </w:r>
    </w:p>
    <w:p w14:paraId="284E0F9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snapToGrid/>
          <w:color w:val="auto"/>
          <w:kern w:val="2"/>
          <w:sz w:val="24"/>
          <w:szCs w:val="24"/>
          <w:lang w:eastAsia="zh-CN"/>
        </w:rPr>
        <w:t>乙方：</w:t>
      </w:r>
    </w:p>
    <w:p w14:paraId="7B47062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 xml:space="preserve">   </w:t>
      </w:r>
    </w:p>
    <w:p w14:paraId="39155B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根据《中华人民共和国政府采购法》《中华人民共和国民法典》及____采购项目（项目编号：XX）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6564623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一、</w:t>
      </w:r>
      <w:r>
        <w:rPr>
          <w:rFonts w:hint="eastAsia" w:ascii="仿宋" w:hAnsi="仿宋" w:eastAsia="仿宋" w:cs="仿宋"/>
          <w:bCs/>
          <w:snapToGrid/>
          <w:color w:val="auto"/>
          <w:kern w:val="2"/>
          <w:sz w:val="24"/>
          <w:szCs w:val="24"/>
          <w:lang w:eastAsia="zh-CN"/>
        </w:rPr>
        <w:t>维保项目基本情况</w:t>
      </w:r>
      <w:bookmarkStart w:id="1" w:name="_Toc53214754"/>
      <w:bookmarkStart w:id="2" w:name="_Toc53215130"/>
    </w:p>
    <w:bookmarkEnd w:id="1"/>
    <w:bookmarkEnd w:id="2"/>
    <w:p w14:paraId="33CF7A33">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w:t>
      </w:r>
      <w:r>
        <w:rPr>
          <w:rFonts w:hint="eastAsia" w:ascii="仿宋" w:hAnsi="仿宋" w:eastAsia="仿宋" w:cs="仿宋"/>
          <w:bCs/>
          <w:snapToGrid/>
          <w:color w:val="auto"/>
          <w:kern w:val="2"/>
          <w:sz w:val="24"/>
          <w:szCs w:val="24"/>
          <w:lang w:val="en-US" w:eastAsia="zh-CN"/>
        </w:rPr>
        <w:t>一</w:t>
      </w:r>
      <w:r>
        <w:rPr>
          <w:rFonts w:hint="eastAsia" w:ascii="仿宋" w:hAnsi="仿宋" w:eastAsia="仿宋" w:cs="仿宋"/>
          <w:bCs/>
          <w:snapToGrid/>
          <w:color w:val="auto"/>
          <w:kern w:val="2"/>
          <w:sz w:val="24"/>
          <w:szCs w:val="24"/>
          <w:lang w:eastAsia="zh-CN"/>
        </w:rPr>
        <w:t>）项目名称：</w:t>
      </w:r>
      <w:r>
        <w:rPr>
          <w:rFonts w:hint="eastAsia" w:ascii="仿宋" w:hAnsi="仿宋" w:eastAsia="仿宋" w:cs="仿宋"/>
          <w:b w:val="0"/>
          <w:bCs w:val="0"/>
          <w:snapToGrid/>
          <w:color w:val="auto"/>
          <w:kern w:val="2"/>
          <w:sz w:val="24"/>
          <w:szCs w:val="24"/>
          <w:lang w:val="en-US" w:eastAsia="zh-CN"/>
        </w:rPr>
        <w:t>南江县人民</w:t>
      </w:r>
      <w:r>
        <w:rPr>
          <w:rFonts w:hint="eastAsia" w:ascii="仿宋" w:hAnsi="仿宋" w:eastAsia="仿宋" w:cs="仿宋"/>
          <w:b w:val="0"/>
          <w:bCs w:val="0"/>
          <w:snapToGrid/>
          <w:color w:val="auto"/>
          <w:kern w:val="2"/>
          <w:sz w:val="24"/>
          <w:szCs w:val="24"/>
          <w:lang w:eastAsia="zh-CN"/>
        </w:rPr>
        <w:t>医院</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snapToGrid/>
          <w:color w:val="auto"/>
          <w:kern w:val="2"/>
          <w:sz w:val="24"/>
          <w:szCs w:val="24"/>
          <w:u w:val="single"/>
          <w:lang w:eastAsia="zh-CN"/>
        </w:rPr>
        <w:t>（</w:t>
      </w:r>
      <w:r>
        <w:rPr>
          <w:rFonts w:hint="eastAsia" w:ascii="仿宋" w:hAnsi="仿宋" w:eastAsia="仿宋" w:cs="仿宋"/>
          <w:snapToGrid/>
          <w:color w:val="auto"/>
          <w:kern w:val="2"/>
          <w:sz w:val="24"/>
          <w:szCs w:val="24"/>
          <w:u w:val="single"/>
          <w:lang w:val="en-US" w:eastAsia="zh-CN"/>
        </w:rPr>
        <w:t>必填</w:t>
      </w:r>
      <w:r>
        <w:rPr>
          <w:rFonts w:hint="eastAsia" w:ascii="仿宋" w:hAnsi="仿宋" w:eastAsia="仿宋" w:cs="仿宋"/>
          <w:snapToGrid/>
          <w:color w:val="auto"/>
          <w:kern w:val="2"/>
          <w:sz w:val="24"/>
          <w:szCs w:val="24"/>
          <w:u w:val="single"/>
          <w:lang w:eastAsia="zh-CN"/>
        </w:rPr>
        <w:t>）</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维保服务。</w:t>
      </w:r>
    </w:p>
    <w:p w14:paraId="1E2F5902">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w:t>
      </w:r>
      <w:r>
        <w:rPr>
          <w:rFonts w:hint="eastAsia" w:ascii="仿宋" w:hAnsi="仿宋" w:eastAsia="仿宋" w:cs="仿宋"/>
          <w:bCs/>
          <w:snapToGrid/>
          <w:color w:val="auto"/>
          <w:kern w:val="2"/>
          <w:sz w:val="24"/>
          <w:szCs w:val="24"/>
          <w:lang w:val="en-US" w:eastAsia="zh-CN"/>
        </w:rPr>
        <w:t>二</w:t>
      </w:r>
      <w:r>
        <w:rPr>
          <w:rFonts w:hint="eastAsia" w:ascii="仿宋" w:hAnsi="仿宋" w:eastAsia="仿宋" w:cs="仿宋"/>
          <w:bCs/>
          <w:snapToGrid/>
          <w:color w:val="auto"/>
          <w:kern w:val="2"/>
          <w:sz w:val="24"/>
          <w:szCs w:val="24"/>
          <w:lang w:eastAsia="zh-CN"/>
        </w:rPr>
        <w:t>）维保服务设备的情况：</w:t>
      </w:r>
    </w:p>
    <w:p w14:paraId="1CCD5E4A">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1.</w:t>
      </w:r>
      <w:r>
        <w:rPr>
          <w:rFonts w:hint="eastAsia" w:ascii="仿宋" w:hAnsi="仿宋" w:eastAsia="仿宋" w:cs="仿宋"/>
          <w:bCs/>
          <w:snapToGrid/>
          <w:color w:val="auto"/>
          <w:kern w:val="2"/>
          <w:sz w:val="24"/>
          <w:szCs w:val="24"/>
          <w:lang w:eastAsia="zh-CN"/>
        </w:rPr>
        <w:t>品牌：</w:t>
      </w:r>
    </w:p>
    <w:p w14:paraId="16EBA1F0">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2.</w:t>
      </w:r>
      <w:r>
        <w:rPr>
          <w:rFonts w:hint="eastAsia" w:ascii="仿宋" w:hAnsi="仿宋" w:eastAsia="仿宋" w:cs="仿宋"/>
          <w:bCs/>
          <w:snapToGrid/>
          <w:color w:val="auto"/>
          <w:kern w:val="2"/>
          <w:sz w:val="24"/>
          <w:szCs w:val="24"/>
          <w:lang w:eastAsia="zh-CN"/>
        </w:rPr>
        <w:t>型号：</w:t>
      </w:r>
    </w:p>
    <w:p w14:paraId="337992FC">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3.</w:t>
      </w:r>
      <w:r>
        <w:rPr>
          <w:rFonts w:hint="eastAsia" w:ascii="仿宋" w:hAnsi="仿宋" w:eastAsia="仿宋" w:cs="仿宋"/>
          <w:bCs/>
          <w:snapToGrid/>
          <w:color w:val="auto"/>
          <w:kern w:val="2"/>
          <w:sz w:val="24"/>
          <w:szCs w:val="24"/>
          <w:lang w:eastAsia="zh-CN"/>
        </w:rPr>
        <w:t>数量：</w:t>
      </w:r>
    </w:p>
    <w:p w14:paraId="1A18E45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二、</w:t>
      </w:r>
      <w:r>
        <w:rPr>
          <w:rFonts w:hint="eastAsia" w:ascii="仿宋" w:hAnsi="仿宋" w:eastAsia="仿宋" w:cs="仿宋"/>
          <w:bCs/>
          <w:snapToGrid/>
          <w:color w:val="auto"/>
          <w:kern w:val="2"/>
          <w:sz w:val="24"/>
          <w:szCs w:val="24"/>
          <w:lang w:eastAsia="zh-CN"/>
        </w:rPr>
        <w:t>合同期限</w:t>
      </w:r>
    </w:p>
    <w:p w14:paraId="32CAC0B6">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维保期限为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年。从</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年</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月</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日起至</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年</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月</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日止，合同一年一签订，上年度考核合格后，按上年度合同金额续签下年度的合同。。</w:t>
      </w:r>
    </w:p>
    <w:p w14:paraId="4CA927D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val="en-US" w:eastAsia="zh-CN"/>
        </w:rPr>
      </w:pPr>
      <w:bookmarkStart w:id="3" w:name="_Toc283019214"/>
      <w:bookmarkStart w:id="4" w:name="_Toc239568418"/>
      <w:bookmarkStart w:id="5" w:name="_Toc211854449"/>
      <w:bookmarkStart w:id="6" w:name="_Toc251768862"/>
      <w:bookmarkStart w:id="7" w:name="_Toc225670751"/>
      <w:bookmarkStart w:id="8" w:name="_Toc225654644"/>
      <w:bookmarkStart w:id="9" w:name="_Toc212019594"/>
      <w:bookmarkStart w:id="10" w:name="_Toc247334841"/>
      <w:bookmarkStart w:id="11" w:name="_Toc225244852"/>
      <w:bookmarkStart w:id="12" w:name="_Toc241833903"/>
      <w:bookmarkStart w:id="13" w:name="_Toc282696226"/>
      <w:bookmarkStart w:id="14" w:name="_Toc185395249"/>
      <w:bookmarkStart w:id="15" w:name="_Toc238984975"/>
      <w:bookmarkStart w:id="16" w:name="_Toc211911348"/>
      <w:bookmarkStart w:id="17" w:name="_Toc239233914"/>
      <w:bookmarkStart w:id="18" w:name="_Toc232492928"/>
      <w:bookmarkStart w:id="19" w:name="_Toc286993786"/>
      <w:bookmarkStart w:id="20" w:name="_Toc237145406"/>
      <w:r>
        <w:rPr>
          <w:rFonts w:hint="eastAsia" w:ascii="仿宋" w:hAnsi="仿宋" w:eastAsia="仿宋" w:cs="仿宋"/>
          <w:bCs/>
          <w:snapToGrid/>
          <w:color w:val="auto"/>
          <w:kern w:val="2"/>
          <w:sz w:val="24"/>
          <w:szCs w:val="24"/>
          <w:lang w:val="en-US" w:eastAsia="zh-CN" w:bidi="ar-SA"/>
        </w:rPr>
        <w:t>三、</w:t>
      </w:r>
      <w:r>
        <w:rPr>
          <w:rFonts w:hint="eastAsia" w:ascii="仿宋" w:hAnsi="仿宋" w:eastAsia="仿宋" w:cs="仿宋"/>
          <w:bCs/>
          <w:snapToGrid/>
          <w:color w:val="auto"/>
          <w:kern w:val="2"/>
          <w:sz w:val="24"/>
          <w:szCs w:val="24"/>
          <w:lang w:eastAsia="zh-CN"/>
        </w:rPr>
        <w:t>服务内容</w:t>
      </w:r>
      <w:r>
        <w:rPr>
          <w:rFonts w:hint="eastAsia" w:ascii="仿宋" w:hAnsi="仿宋" w:eastAsia="仿宋" w:cs="仿宋"/>
          <w:bCs/>
          <w:snapToGrid/>
          <w:color w:val="auto"/>
          <w:kern w:val="2"/>
          <w:sz w:val="24"/>
          <w:szCs w:val="24"/>
          <w:lang w:val="en-US" w:eastAsia="zh-CN"/>
        </w:rPr>
        <w:t>与质量标准</w:t>
      </w:r>
    </w:p>
    <w:p w14:paraId="705A1662">
      <w:pPr>
        <w:keepNext w:val="0"/>
        <w:keepLines w:val="0"/>
        <w:pageBreakBefore w:val="0"/>
        <w:widowControl w:val="0"/>
        <w:kinsoku/>
        <w:wordWrap/>
        <w:overflowPunct/>
        <w:topLinePunct w:val="0"/>
        <w:autoSpaceDE/>
        <w:autoSpaceDN/>
        <w:bidi w:val="0"/>
        <w:adjustRightInd/>
        <w:snapToGrid w:val="0"/>
        <w:spacing w:line="500" w:lineRule="exact"/>
        <w:ind w:left="0" w:leftChars="0" w:firstLine="482" w:firstLineChars="200"/>
        <w:jc w:val="both"/>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（具体内容根据投标文件中服务应答内容确定）</w:t>
      </w:r>
    </w:p>
    <w:p w14:paraId="14F572FB">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eastAsia="zh-CN"/>
        </w:rPr>
        <w:t>1</w:t>
      </w:r>
      <w:r>
        <w:rPr>
          <w:rFonts w:hint="eastAsia" w:ascii="仿宋" w:hAnsi="仿宋" w:eastAsia="仿宋" w:cs="仿宋"/>
          <w:bCs/>
          <w:snapToGrid/>
          <w:color w:val="auto"/>
          <w:kern w:val="2"/>
          <w:sz w:val="24"/>
          <w:szCs w:val="24"/>
          <w:lang w:val="en-US" w:eastAsia="zh-CN"/>
        </w:rPr>
        <w:t>.</w:t>
      </w:r>
    </w:p>
    <w:p w14:paraId="0E5EF1B9">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eastAsia="zh-CN"/>
        </w:rPr>
        <w:t>2</w:t>
      </w:r>
      <w:r>
        <w:rPr>
          <w:rFonts w:hint="eastAsia" w:ascii="仿宋" w:hAnsi="仿宋" w:eastAsia="仿宋" w:cs="仿宋"/>
          <w:bCs/>
          <w:snapToGrid/>
          <w:color w:val="auto"/>
          <w:kern w:val="2"/>
          <w:sz w:val="24"/>
          <w:szCs w:val="24"/>
          <w:lang w:val="en-US" w:eastAsia="zh-CN"/>
        </w:rPr>
        <w:t>.</w:t>
      </w:r>
    </w:p>
    <w:p w14:paraId="7880B97D">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eastAsia="zh-CN"/>
        </w:rPr>
        <w:t>3</w:t>
      </w:r>
      <w:r>
        <w:rPr>
          <w:rFonts w:hint="eastAsia" w:ascii="仿宋" w:hAnsi="仿宋" w:eastAsia="仿宋" w:cs="仿宋"/>
          <w:bCs/>
          <w:snapToGrid/>
          <w:color w:val="auto"/>
          <w:kern w:val="2"/>
          <w:sz w:val="24"/>
          <w:szCs w:val="24"/>
          <w:lang w:val="en-US" w:eastAsia="zh-CN"/>
        </w:rPr>
        <w:t>.</w:t>
      </w:r>
    </w:p>
    <w:p w14:paraId="0BEFC3F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四、</w:t>
      </w:r>
      <w:r>
        <w:rPr>
          <w:rFonts w:hint="eastAsia" w:ascii="仿宋" w:hAnsi="仿宋" w:eastAsia="仿宋" w:cs="仿宋"/>
          <w:bCs/>
          <w:snapToGrid/>
          <w:color w:val="auto"/>
          <w:kern w:val="2"/>
          <w:sz w:val="24"/>
          <w:szCs w:val="24"/>
          <w:lang w:eastAsia="zh-CN"/>
        </w:rPr>
        <w:t>服务费用及支付方式</w:t>
      </w:r>
    </w:p>
    <w:p w14:paraId="2A87B09F">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(一)</w:t>
      </w:r>
      <w:r>
        <w:rPr>
          <w:rFonts w:hint="eastAsia" w:ascii="仿宋" w:hAnsi="仿宋" w:eastAsia="仿宋" w:cs="仿宋"/>
          <w:bCs/>
          <w:snapToGrid/>
          <w:color w:val="auto"/>
          <w:kern w:val="2"/>
          <w:sz w:val="24"/>
          <w:szCs w:val="24"/>
          <w:lang w:eastAsia="zh-CN"/>
        </w:rPr>
        <w:t>本项目服务费：</w:t>
      </w:r>
    </w:p>
    <w:tbl>
      <w:tblPr>
        <w:tblStyle w:val="6"/>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675"/>
        <w:gridCol w:w="1550"/>
        <w:gridCol w:w="1262"/>
        <w:gridCol w:w="1163"/>
        <w:gridCol w:w="932"/>
        <w:gridCol w:w="992"/>
      </w:tblGrid>
      <w:tr w14:paraId="4753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12" w:type="dxa"/>
            <w:vAlign w:val="center"/>
          </w:tcPr>
          <w:p w14:paraId="749B2C6F">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21" w:name="_Toc53214956"/>
            <w:bookmarkStart w:id="22" w:name="_Toc53214580"/>
            <w:r>
              <w:rPr>
                <w:rFonts w:hint="eastAsia" w:ascii="仿宋" w:hAnsi="仿宋" w:eastAsia="仿宋" w:cs="仿宋"/>
                <w:snapToGrid/>
                <w:color w:val="auto"/>
                <w:kern w:val="2"/>
                <w:sz w:val="24"/>
                <w:szCs w:val="24"/>
                <w:lang w:eastAsia="zh-CN"/>
              </w:rPr>
              <w:t>序号</w:t>
            </w:r>
            <w:bookmarkEnd w:id="21"/>
            <w:bookmarkEnd w:id="22"/>
          </w:p>
        </w:tc>
        <w:tc>
          <w:tcPr>
            <w:tcW w:w="1675" w:type="dxa"/>
            <w:vAlign w:val="center"/>
          </w:tcPr>
          <w:p w14:paraId="3D6C1773">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23" w:name="_Toc53214581"/>
            <w:bookmarkStart w:id="24" w:name="_Toc53214957"/>
            <w:r>
              <w:rPr>
                <w:rFonts w:hint="eastAsia" w:ascii="仿宋" w:hAnsi="仿宋" w:eastAsia="仿宋" w:cs="仿宋"/>
                <w:snapToGrid/>
                <w:color w:val="auto"/>
                <w:kern w:val="2"/>
                <w:sz w:val="24"/>
                <w:szCs w:val="24"/>
                <w:lang w:eastAsia="zh-CN"/>
              </w:rPr>
              <w:t>服务</w:t>
            </w:r>
            <w:bookmarkEnd w:id="23"/>
            <w:bookmarkEnd w:id="24"/>
            <w:bookmarkStart w:id="25" w:name="_Toc53214958"/>
            <w:bookmarkStart w:id="26" w:name="_Toc53214582"/>
            <w:r>
              <w:rPr>
                <w:rFonts w:hint="eastAsia" w:ascii="仿宋" w:hAnsi="仿宋" w:eastAsia="仿宋" w:cs="仿宋"/>
                <w:snapToGrid/>
                <w:color w:val="auto"/>
                <w:kern w:val="2"/>
                <w:sz w:val="24"/>
                <w:szCs w:val="24"/>
                <w:lang w:eastAsia="zh-CN"/>
              </w:rPr>
              <w:t>内容</w:t>
            </w:r>
            <w:bookmarkEnd w:id="25"/>
            <w:bookmarkEnd w:id="26"/>
          </w:p>
        </w:tc>
        <w:tc>
          <w:tcPr>
            <w:tcW w:w="1550" w:type="dxa"/>
            <w:vAlign w:val="center"/>
          </w:tcPr>
          <w:p w14:paraId="1A364BAD">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设备</w:t>
            </w:r>
          </w:p>
          <w:p w14:paraId="74A721C2">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序列号</w:t>
            </w:r>
          </w:p>
        </w:tc>
        <w:tc>
          <w:tcPr>
            <w:tcW w:w="1262" w:type="dxa"/>
            <w:vAlign w:val="center"/>
          </w:tcPr>
          <w:p w14:paraId="71CFF8DE">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27" w:name="_Toc53214583"/>
            <w:bookmarkStart w:id="28" w:name="_Toc53214959"/>
            <w:r>
              <w:rPr>
                <w:rFonts w:hint="eastAsia" w:ascii="仿宋" w:hAnsi="仿宋" w:eastAsia="仿宋" w:cs="仿宋"/>
                <w:snapToGrid/>
                <w:color w:val="auto"/>
                <w:kern w:val="2"/>
                <w:sz w:val="24"/>
                <w:szCs w:val="24"/>
                <w:lang w:eastAsia="zh-CN"/>
              </w:rPr>
              <w:t>单价</w:t>
            </w:r>
            <w:bookmarkEnd w:id="27"/>
            <w:bookmarkEnd w:id="28"/>
          </w:p>
          <w:p w14:paraId="678BA227">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29" w:name="_Toc53214584"/>
            <w:bookmarkStart w:id="30" w:name="_Toc53214960"/>
            <w:r>
              <w:rPr>
                <w:rFonts w:hint="eastAsia" w:ascii="仿宋" w:hAnsi="仿宋" w:eastAsia="仿宋" w:cs="仿宋"/>
                <w:snapToGrid/>
                <w:color w:val="auto"/>
                <w:kern w:val="2"/>
                <w:sz w:val="24"/>
                <w:szCs w:val="24"/>
                <w:lang w:eastAsia="zh-CN"/>
              </w:rPr>
              <w:t>（元）</w:t>
            </w:r>
            <w:bookmarkEnd w:id="29"/>
            <w:bookmarkEnd w:id="30"/>
          </w:p>
        </w:tc>
        <w:tc>
          <w:tcPr>
            <w:tcW w:w="1163" w:type="dxa"/>
            <w:vAlign w:val="center"/>
          </w:tcPr>
          <w:p w14:paraId="7F5883C0">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31" w:name="_Toc53214585"/>
            <w:bookmarkStart w:id="32" w:name="_Toc53214961"/>
            <w:r>
              <w:rPr>
                <w:rFonts w:hint="eastAsia" w:ascii="仿宋" w:hAnsi="仿宋" w:eastAsia="仿宋" w:cs="仿宋"/>
                <w:snapToGrid/>
                <w:color w:val="auto"/>
                <w:kern w:val="2"/>
                <w:sz w:val="24"/>
                <w:szCs w:val="24"/>
                <w:lang w:eastAsia="zh-CN"/>
              </w:rPr>
              <w:t>总价</w:t>
            </w:r>
            <w:bookmarkEnd w:id="31"/>
            <w:bookmarkEnd w:id="32"/>
          </w:p>
          <w:p w14:paraId="1552DE71">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33" w:name="_Toc53214586"/>
            <w:bookmarkStart w:id="34" w:name="_Toc53214962"/>
            <w:r>
              <w:rPr>
                <w:rFonts w:hint="eastAsia" w:ascii="仿宋" w:hAnsi="仿宋" w:eastAsia="仿宋" w:cs="仿宋"/>
                <w:snapToGrid/>
                <w:color w:val="auto"/>
                <w:kern w:val="2"/>
                <w:sz w:val="24"/>
                <w:szCs w:val="24"/>
                <w:lang w:eastAsia="zh-CN"/>
              </w:rPr>
              <w:t>（元）</w:t>
            </w:r>
            <w:bookmarkEnd w:id="33"/>
            <w:bookmarkEnd w:id="34"/>
          </w:p>
        </w:tc>
        <w:tc>
          <w:tcPr>
            <w:tcW w:w="932" w:type="dxa"/>
            <w:vAlign w:val="center"/>
          </w:tcPr>
          <w:p w14:paraId="59225729">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snapToGrid/>
                <w:color w:val="auto"/>
                <w:kern w:val="2"/>
                <w:sz w:val="24"/>
                <w:szCs w:val="24"/>
                <w:lang w:eastAsia="zh-CN"/>
              </w:rPr>
            </w:pPr>
            <w:bookmarkStart w:id="35" w:name="_Toc53214963"/>
            <w:bookmarkStart w:id="36" w:name="_Toc53214587"/>
            <w:r>
              <w:rPr>
                <w:rFonts w:hint="eastAsia" w:ascii="仿宋" w:hAnsi="仿宋" w:eastAsia="仿宋" w:cs="仿宋"/>
                <w:snapToGrid/>
                <w:color w:val="auto"/>
                <w:kern w:val="2"/>
                <w:sz w:val="24"/>
                <w:szCs w:val="24"/>
                <w:lang w:eastAsia="zh-CN"/>
              </w:rPr>
              <w:t>服务期限</w:t>
            </w:r>
            <w:bookmarkEnd w:id="35"/>
            <w:bookmarkEnd w:id="36"/>
          </w:p>
        </w:tc>
        <w:tc>
          <w:tcPr>
            <w:tcW w:w="992" w:type="dxa"/>
            <w:vAlign w:val="center"/>
          </w:tcPr>
          <w:p w14:paraId="0840A927">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37" w:name="_Toc53214964"/>
            <w:bookmarkStart w:id="38" w:name="_Toc53214588"/>
            <w:r>
              <w:rPr>
                <w:rFonts w:hint="eastAsia" w:ascii="仿宋" w:hAnsi="仿宋" w:eastAsia="仿宋" w:cs="仿宋"/>
                <w:snapToGrid/>
                <w:color w:val="auto"/>
                <w:kern w:val="2"/>
                <w:sz w:val="24"/>
                <w:szCs w:val="24"/>
                <w:lang w:eastAsia="zh-CN"/>
              </w:rPr>
              <w:t>备注</w:t>
            </w:r>
            <w:bookmarkEnd w:id="37"/>
            <w:bookmarkEnd w:id="38"/>
          </w:p>
        </w:tc>
      </w:tr>
      <w:tr w14:paraId="7D2E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12" w:type="dxa"/>
          </w:tcPr>
          <w:p w14:paraId="20B39ED9">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bookmarkStart w:id="39" w:name="_Toc53214589"/>
            <w:bookmarkStart w:id="40" w:name="_Toc53214965"/>
            <w:r>
              <w:rPr>
                <w:rFonts w:hint="eastAsia" w:ascii="仿宋" w:hAnsi="仿宋" w:eastAsia="仿宋" w:cs="仿宋"/>
                <w:snapToGrid/>
                <w:color w:val="auto"/>
                <w:kern w:val="2"/>
                <w:sz w:val="24"/>
                <w:szCs w:val="24"/>
                <w:lang w:eastAsia="zh-CN"/>
              </w:rPr>
              <w:t>1</w:t>
            </w:r>
            <w:bookmarkEnd w:id="39"/>
            <w:bookmarkEnd w:id="40"/>
          </w:p>
        </w:tc>
        <w:tc>
          <w:tcPr>
            <w:tcW w:w="1675" w:type="dxa"/>
            <w:vAlign w:val="center"/>
          </w:tcPr>
          <w:p w14:paraId="49B8B2BD">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outlineLvl w:val="1"/>
              <w:rPr>
                <w:rFonts w:hint="eastAsia" w:ascii="仿宋" w:hAnsi="仿宋" w:eastAsia="仿宋" w:cs="仿宋"/>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南江县人民</w:t>
            </w:r>
            <w:r>
              <w:rPr>
                <w:rFonts w:hint="eastAsia" w:ascii="仿宋" w:hAnsi="仿宋" w:eastAsia="仿宋" w:cs="仿宋"/>
                <w:bCs/>
                <w:snapToGrid/>
                <w:color w:val="auto"/>
                <w:kern w:val="2"/>
                <w:sz w:val="24"/>
                <w:szCs w:val="24"/>
                <w:lang w:eastAsia="zh-CN"/>
              </w:rPr>
              <w:t>医院</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维保</w:t>
            </w:r>
          </w:p>
        </w:tc>
        <w:tc>
          <w:tcPr>
            <w:tcW w:w="1550" w:type="dxa"/>
            <w:vAlign w:val="center"/>
          </w:tcPr>
          <w:p w14:paraId="7A0806D6">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outlineLvl w:val="1"/>
              <w:rPr>
                <w:rFonts w:hint="eastAsia" w:ascii="仿宋" w:hAnsi="仿宋" w:eastAsia="仿宋" w:cs="仿宋"/>
                <w:snapToGrid/>
                <w:color w:val="auto"/>
                <w:kern w:val="2"/>
                <w:sz w:val="24"/>
                <w:szCs w:val="24"/>
                <w:lang w:eastAsia="zh-CN"/>
              </w:rPr>
            </w:pPr>
          </w:p>
        </w:tc>
        <w:tc>
          <w:tcPr>
            <w:tcW w:w="1262" w:type="dxa"/>
            <w:vAlign w:val="center"/>
          </w:tcPr>
          <w:p w14:paraId="05C1D326">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p>
        </w:tc>
        <w:tc>
          <w:tcPr>
            <w:tcW w:w="1163" w:type="dxa"/>
            <w:vAlign w:val="center"/>
          </w:tcPr>
          <w:p w14:paraId="723F4A78">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p>
        </w:tc>
        <w:tc>
          <w:tcPr>
            <w:tcW w:w="932" w:type="dxa"/>
            <w:vAlign w:val="center"/>
          </w:tcPr>
          <w:p w14:paraId="79D725F9">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p>
        </w:tc>
        <w:tc>
          <w:tcPr>
            <w:tcW w:w="992" w:type="dxa"/>
            <w:vAlign w:val="center"/>
          </w:tcPr>
          <w:p w14:paraId="2B0D4095">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snapToGrid/>
                <w:color w:val="auto"/>
                <w:kern w:val="2"/>
                <w:sz w:val="24"/>
                <w:szCs w:val="24"/>
                <w:lang w:eastAsia="zh-CN"/>
              </w:rPr>
            </w:pPr>
          </w:p>
        </w:tc>
      </w:tr>
      <w:tr w14:paraId="71E4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86" w:type="dxa"/>
            <w:gridSpan w:val="7"/>
          </w:tcPr>
          <w:p w14:paraId="780A2963">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right"/>
              <w:textAlignment w:val="auto"/>
              <w:outlineLvl w:val="1"/>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合同总价：小写：</w:t>
            </w:r>
            <w:r>
              <w:rPr>
                <w:rFonts w:hint="eastAsia" w:ascii="仿宋" w:hAnsi="仿宋" w:eastAsia="仿宋" w:cs="仿宋"/>
                <w:snapToGrid/>
                <w:color w:val="auto"/>
                <w:kern w:val="2"/>
                <w:sz w:val="24"/>
                <w:szCs w:val="24"/>
                <w:u w:val="single"/>
                <w:lang w:val="en-US" w:eastAsia="zh-CN"/>
              </w:rPr>
              <w:t xml:space="preserve">      </w:t>
            </w:r>
            <w:r>
              <w:rPr>
                <w:rFonts w:hint="eastAsia" w:ascii="仿宋" w:hAnsi="仿宋" w:eastAsia="仿宋" w:cs="仿宋"/>
                <w:snapToGrid/>
                <w:color w:val="auto"/>
                <w:kern w:val="2"/>
                <w:sz w:val="24"/>
                <w:szCs w:val="24"/>
                <w:u w:val="none"/>
                <w:lang w:val="en-US" w:eastAsia="zh-CN"/>
              </w:rPr>
              <w:t>元，</w:t>
            </w:r>
            <w:r>
              <w:rPr>
                <w:rFonts w:hint="eastAsia" w:ascii="仿宋" w:hAnsi="仿宋" w:eastAsia="仿宋" w:cs="仿宋"/>
                <w:snapToGrid/>
                <w:color w:val="auto"/>
                <w:kern w:val="2"/>
                <w:sz w:val="24"/>
                <w:szCs w:val="24"/>
                <w:lang w:eastAsia="zh-CN"/>
              </w:rPr>
              <w:t>大写：</w:t>
            </w:r>
            <w:r>
              <w:rPr>
                <w:rFonts w:hint="eastAsia" w:ascii="仿宋" w:hAnsi="仿宋" w:eastAsia="仿宋" w:cs="仿宋"/>
                <w:snapToGrid/>
                <w:color w:val="auto"/>
                <w:kern w:val="2"/>
                <w:sz w:val="24"/>
                <w:szCs w:val="24"/>
                <w:u w:val="single"/>
                <w:lang w:eastAsia="zh-CN"/>
              </w:rPr>
              <w:t>（必填）</w:t>
            </w:r>
            <w:r>
              <w:rPr>
                <w:rFonts w:hint="eastAsia" w:ascii="仿宋" w:hAnsi="仿宋" w:eastAsia="仿宋" w:cs="仿宋"/>
                <w:snapToGrid/>
                <w:color w:val="auto"/>
                <w:kern w:val="2"/>
                <w:sz w:val="24"/>
                <w:szCs w:val="24"/>
                <w:lang w:eastAsia="zh-CN"/>
              </w:rPr>
              <w:t>元整</w:t>
            </w:r>
          </w:p>
        </w:tc>
      </w:tr>
    </w:tbl>
    <w:p w14:paraId="5659C99A">
      <w:pPr>
        <w:keepNext w:val="0"/>
        <w:keepLines w:val="0"/>
        <w:pageBreakBefore w:val="0"/>
        <w:widowControl w:val="0"/>
        <w:numPr>
          <w:ilvl w:val="0"/>
          <w:numId w:val="0"/>
        </w:numPr>
        <w:tabs>
          <w:tab w:val="left" w:pos="780"/>
        </w:tabs>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Cs/>
          <w:snapToGrid/>
          <w:color w:val="auto"/>
          <w:kern w:val="2"/>
          <w:sz w:val="24"/>
          <w:szCs w:val="24"/>
          <w:lang w:eastAsia="zh-CN"/>
        </w:rPr>
        <w:t>（</w:t>
      </w:r>
      <w:r>
        <w:rPr>
          <w:rFonts w:hint="eastAsia" w:ascii="仿宋" w:hAnsi="仿宋" w:eastAsia="仿宋" w:cs="仿宋"/>
          <w:bCs/>
          <w:snapToGrid/>
          <w:color w:val="auto"/>
          <w:kern w:val="2"/>
          <w:sz w:val="24"/>
          <w:szCs w:val="24"/>
          <w:lang w:val="en-US" w:eastAsia="zh-CN"/>
        </w:rPr>
        <w:t>二</w:t>
      </w:r>
      <w:r>
        <w:rPr>
          <w:rFonts w:hint="eastAsia" w:ascii="仿宋" w:hAnsi="仿宋" w:eastAsia="仿宋" w:cs="仿宋"/>
          <w:bCs/>
          <w:snapToGrid/>
          <w:color w:val="auto"/>
          <w:kern w:val="2"/>
          <w:sz w:val="24"/>
          <w:szCs w:val="24"/>
          <w:lang w:eastAsia="zh-CN"/>
        </w:rPr>
        <w:t>）服务费支付方式：</w:t>
      </w:r>
    </w:p>
    <w:p w14:paraId="7B2942C7">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 w:val="0"/>
          <w:bCs/>
          <w:snapToGrid/>
          <w:color w:val="auto"/>
          <w:kern w:val="2"/>
          <w:sz w:val="24"/>
          <w:szCs w:val="24"/>
          <w:lang w:eastAsia="zh-CN"/>
        </w:rPr>
      </w:pPr>
      <w:r>
        <w:rPr>
          <w:rFonts w:hint="eastAsia" w:ascii="仿宋" w:hAnsi="仿宋" w:eastAsia="仿宋" w:cs="仿宋"/>
          <w:b w:val="0"/>
          <w:bCs/>
          <w:snapToGrid/>
          <w:color w:val="auto"/>
          <w:kern w:val="2"/>
          <w:sz w:val="24"/>
          <w:szCs w:val="24"/>
          <w:lang w:val="en-US" w:eastAsia="zh-CN"/>
        </w:rPr>
        <w:t>1.</w:t>
      </w:r>
      <w:r>
        <w:rPr>
          <w:rFonts w:hint="eastAsia" w:ascii="仿宋" w:hAnsi="仿宋" w:eastAsia="仿宋" w:cs="仿宋"/>
          <w:b w:val="0"/>
          <w:bCs/>
          <w:snapToGrid/>
          <w:color w:val="auto"/>
          <w:kern w:val="2"/>
          <w:sz w:val="24"/>
          <w:szCs w:val="24"/>
          <w:lang w:eastAsia="zh-CN"/>
        </w:rPr>
        <w:t>合同签订后，维保期满6个月且服务达到要求，达到付款条件起30日内支付当年合同总金额的50.00%。</w:t>
      </w:r>
    </w:p>
    <w:p w14:paraId="2B88375F">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 w:val="0"/>
          <w:bCs/>
          <w:snapToGrid/>
          <w:color w:val="auto"/>
          <w:kern w:val="2"/>
          <w:sz w:val="24"/>
          <w:szCs w:val="24"/>
          <w:lang w:eastAsia="zh-CN"/>
        </w:rPr>
      </w:pPr>
      <w:r>
        <w:rPr>
          <w:rFonts w:hint="eastAsia" w:ascii="仿宋" w:hAnsi="仿宋" w:eastAsia="仿宋" w:cs="仿宋"/>
          <w:b w:val="0"/>
          <w:bCs/>
          <w:snapToGrid/>
          <w:color w:val="auto"/>
          <w:kern w:val="2"/>
          <w:sz w:val="24"/>
          <w:szCs w:val="24"/>
          <w:lang w:eastAsia="zh-CN"/>
        </w:rPr>
        <w:t>2.一年结束经考核验收合格后，达到付款条件起，达到付款条件起30日内，支付当年合同总金额的50.00%。</w:t>
      </w:r>
    </w:p>
    <w:p w14:paraId="2348EFE5">
      <w:pPr>
        <w:keepNext w:val="0"/>
        <w:keepLines w:val="0"/>
        <w:pageBreakBefore w:val="0"/>
        <w:widowControl w:val="0"/>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
          <w:snapToGrid/>
          <w:color w:val="auto"/>
          <w:kern w:val="2"/>
          <w:sz w:val="24"/>
          <w:szCs w:val="24"/>
          <w:lang w:eastAsia="zh-CN"/>
        </w:rPr>
      </w:pPr>
      <w:r>
        <w:rPr>
          <w:rFonts w:hint="eastAsia" w:ascii="仿宋" w:hAnsi="仿宋" w:eastAsia="仿宋" w:cs="仿宋"/>
          <w:b w:val="0"/>
          <w:bCs/>
          <w:snapToGrid/>
          <w:color w:val="auto"/>
          <w:kern w:val="2"/>
          <w:sz w:val="24"/>
          <w:szCs w:val="24"/>
          <w:lang w:val="en-US" w:eastAsia="zh-CN"/>
        </w:rPr>
        <w:t>3.</w:t>
      </w:r>
      <w:r>
        <w:rPr>
          <w:rFonts w:hint="eastAsia" w:ascii="仿宋" w:hAnsi="仿宋" w:eastAsia="仿宋" w:cs="仿宋"/>
          <w:snapToGrid/>
          <w:color w:val="auto"/>
          <w:kern w:val="2"/>
          <w:sz w:val="24"/>
          <w:szCs w:val="24"/>
          <w:lang w:eastAsia="zh-CN"/>
        </w:rPr>
        <w:t>以上全部金额，在甲方付款前，乙方应先出具相应金额的合法有效的增值税普通发票。否则，甲方有权拒绝付款并且不因此承担违约责任。</w:t>
      </w:r>
    </w:p>
    <w:p w14:paraId="7EC124D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五、</w:t>
      </w:r>
      <w:r>
        <w:rPr>
          <w:rFonts w:hint="eastAsia" w:ascii="仿宋" w:hAnsi="仿宋" w:eastAsia="仿宋" w:cs="仿宋"/>
          <w:bCs/>
          <w:snapToGrid/>
          <w:color w:val="auto"/>
          <w:kern w:val="2"/>
          <w:sz w:val="24"/>
          <w:szCs w:val="24"/>
          <w:lang w:eastAsia="zh-CN"/>
        </w:rPr>
        <w:t>知识产权</w:t>
      </w:r>
    </w:p>
    <w:p w14:paraId="578D7BCF">
      <w:pPr>
        <w:keepNext w:val="0"/>
        <w:keepLines w:val="0"/>
        <w:pageBreakBefore w:val="0"/>
        <w:widowControl w:val="0"/>
        <w:tabs>
          <w:tab w:val="left" w:pos="1440"/>
        </w:tabs>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乙方应保证所提供的服务或其任何一部分均不会侵犯任何第三方的专利权、商标权或著作权。</w:t>
      </w:r>
    </w:p>
    <w:p w14:paraId="08195BC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六、</w:t>
      </w:r>
      <w:r>
        <w:rPr>
          <w:rFonts w:hint="eastAsia" w:ascii="仿宋" w:hAnsi="仿宋" w:eastAsia="仿宋" w:cs="仿宋"/>
          <w:bCs/>
          <w:snapToGrid/>
          <w:color w:val="auto"/>
          <w:kern w:val="2"/>
          <w:sz w:val="24"/>
          <w:szCs w:val="24"/>
          <w:lang w:eastAsia="zh-CN"/>
        </w:rPr>
        <w:t>无产权瑕疵条款</w:t>
      </w:r>
    </w:p>
    <w:p w14:paraId="3F1B1D90">
      <w:pPr>
        <w:keepNext w:val="0"/>
        <w:keepLines w:val="0"/>
        <w:pageBreakBefore w:val="0"/>
        <w:widowControl w:val="0"/>
        <w:tabs>
          <w:tab w:val="left" w:pos="1440"/>
        </w:tabs>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乙方保证所提供的服务的所有权完全属于乙方且无任何抵押、查封等产权瑕疵。如有产权瑕疵的，视为乙方违约。乙方应负担由此而产生的一切损失。</w:t>
      </w:r>
    </w:p>
    <w:p w14:paraId="4C0FC43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七、</w:t>
      </w:r>
      <w:r>
        <w:rPr>
          <w:rFonts w:hint="eastAsia" w:ascii="仿宋" w:hAnsi="仿宋" w:eastAsia="仿宋" w:cs="仿宋"/>
          <w:bCs/>
          <w:snapToGrid/>
          <w:color w:val="auto"/>
          <w:kern w:val="2"/>
          <w:sz w:val="24"/>
          <w:szCs w:val="24"/>
          <w:lang w:eastAsia="zh-CN"/>
        </w:rPr>
        <w:t>甲方的权利和义务</w:t>
      </w:r>
    </w:p>
    <w:p w14:paraId="739ADF3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1.</w:t>
      </w:r>
      <w:r>
        <w:rPr>
          <w:rFonts w:hint="eastAsia" w:ascii="仿宋" w:hAnsi="仿宋" w:eastAsia="仿宋" w:cs="仿宋"/>
          <w:bCs/>
          <w:snapToGrid/>
          <w:color w:val="auto"/>
          <w:kern w:val="2"/>
          <w:sz w:val="24"/>
          <w:szCs w:val="24"/>
          <w:lang w:eastAsia="zh-CN"/>
        </w:rPr>
        <w:t>甲方有权对合同规定范围内乙方的服务行为进行监督和检查，拥有监管权。有权定期核对乙方提供服务所配备的人员数量，如发现乙方维保人员违反甲方规章制度、违规操作、服务态度差等，甲方有权要求乙方更换人员，乙方应在</w:t>
      </w:r>
      <w:r>
        <w:rPr>
          <w:rFonts w:hint="eastAsia" w:ascii="仿宋" w:hAnsi="仿宋" w:eastAsia="仿宋" w:cs="仿宋"/>
          <w:bCs/>
          <w:snapToGrid/>
          <w:color w:val="auto"/>
          <w:kern w:val="2"/>
          <w:sz w:val="24"/>
          <w:szCs w:val="24"/>
          <w:lang w:val="en-US" w:eastAsia="zh-CN"/>
        </w:rPr>
        <w:t>24</w:t>
      </w:r>
      <w:r>
        <w:rPr>
          <w:rFonts w:hint="eastAsia" w:ascii="仿宋" w:hAnsi="仿宋" w:eastAsia="仿宋" w:cs="仿宋"/>
          <w:bCs/>
          <w:snapToGrid/>
          <w:color w:val="auto"/>
          <w:kern w:val="2"/>
          <w:sz w:val="24"/>
          <w:szCs w:val="24"/>
          <w:lang w:eastAsia="zh-CN"/>
        </w:rPr>
        <w:t>小时内予以更换。如甲方发现乙方到岗人员与乙方申报人数不一致的，有权按照实际服务人数结算。对乙方服务认为不合理的部分，甲方有权下达整改通知书，并要求乙方限期整改。</w:t>
      </w:r>
    </w:p>
    <w:p w14:paraId="751FCF4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2.</w:t>
      </w:r>
      <w:r>
        <w:rPr>
          <w:rFonts w:hint="eastAsia" w:ascii="仿宋" w:hAnsi="仿宋" w:eastAsia="仿宋" w:cs="仿宋"/>
          <w:bCs/>
          <w:snapToGrid/>
          <w:color w:val="auto"/>
          <w:kern w:val="2"/>
          <w:sz w:val="24"/>
          <w:szCs w:val="24"/>
          <w:lang w:eastAsia="zh-CN"/>
        </w:rPr>
        <w:t>负责检查监督乙方管理工作的实施及制度的执行情况。</w:t>
      </w:r>
    </w:p>
    <w:p w14:paraId="6B2537B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3.</w:t>
      </w:r>
      <w:r>
        <w:rPr>
          <w:rFonts w:hint="eastAsia" w:ascii="仿宋" w:hAnsi="仿宋" w:eastAsia="仿宋" w:cs="仿宋"/>
          <w:bCs/>
          <w:snapToGrid/>
          <w:color w:val="auto"/>
          <w:kern w:val="2"/>
          <w:sz w:val="24"/>
          <w:szCs w:val="24"/>
          <w:lang w:eastAsia="zh-CN"/>
        </w:rPr>
        <w:t>根据本合同规定，按时向乙方支付应付服务费用。</w:t>
      </w:r>
    </w:p>
    <w:p w14:paraId="203F3E2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4.</w:t>
      </w:r>
      <w:r>
        <w:rPr>
          <w:rFonts w:hint="eastAsia" w:ascii="仿宋" w:hAnsi="仿宋" w:eastAsia="仿宋" w:cs="仿宋"/>
          <w:bCs/>
          <w:snapToGrid/>
          <w:color w:val="auto"/>
          <w:kern w:val="2"/>
          <w:sz w:val="24"/>
          <w:szCs w:val="24"/>
          <w:lang w:eastAsia="zh-CN"/>
        </w:rPr>
        <w:t>国家法律法规所规定由甲方承担的其他责任。</w:t>
      </w:r>
    </w:p>
    <w:p w14:paraId="5672F20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八、</w:t>
      </w:r>
      <w:r>
        <w:rPr>
          <w:rFonts w:hint="eastAsia" w:ascii="仿宋" w:hAnsi="仿宋" w:eastAsia="仿宋" w:cs="仿宋"/>
          <w:bCs/>
          <w:snapToGrid/>
          <w:color w:val="auto"/>
          <w:kern w:val="2"/>
          <w:sz w:val="24"/>
          <w:szCs w:val="24"/>
          <w:lang w:eastAsia="zh-CN"/>
        </w:rPr>
        <w:t>乙方的权利和义务</w:t>
      </w:r>
    </w:p>
    <w:p w14:paraId="6F8CE1B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1.</w:t>
      </w:r>
      <w:r>
        <w:rPr>
          <w:rFonts w:hint="eastAsia" w:ascii="仿宋" w:hAnsi="仿宋" w:eastAsia="仿宋" w:cs="仿宋"/>
          <w:bCs/>
          <w:snapToGrid/>
          <w:color w:val="auto"/>
          <w:kern w:val="2"/>
          <w:sz w:val="24"/>
          <w:szCs w:val="24"/>
          <w:lang w:eastAsia="zh-CN"/>
        </w:rPr>
        <w:t>对本合同规定的委托服务范围内的项目享有管理权及服务义务。</w:t>
      </w:r>
    </w:p>
    <w:p w14:paraId="79CF869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2.</w:t>
      </w:r>
      <w:r>
        <w:rPr>
          <w:rFonts w:hint="eastAsia" w:ascii="仿宋" w:hAnsi="仿宋" w:eastAsia="仿宋" w:cs="仿宋"/>
          <w:bCs/>
          <w:snapToGrid/>
          <w:color w:val="auto"/>
          <w:kern w:val="2"/>
          <w:sz w:val="24"/>
          <w:szCs w:val="24"/>
          <w:lang w:eastAsia="zh-CN"/>
        </w:rPr>
        <w:t>根据本合同的规定向甲方收取相关服务费用，并有权在本项目管理范围内管理及合理使用。</w:t>
      </w:r>
    </w:p>
    <w:p w14:paraId="4D3EB1A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3.</w:t>
      </w:r>
      <w:r>
        <w:rPr>
          <w:rFonts w:hint="eastAsia" w:ascii="仿宋" w:hAnsi="仿宋" w:eastAsia="仿宋" w:cs="仿宋"/>
          <w:bCs/>
          <w:snapToGrid/>
          <w:color w:val="auto"/>
          <w:kern w:val="2"/>
          <w:sz w:val="24"/>
          <w:szCs w:val="24"/>
          <w:lang w:eastAsia="zh-CN"/>
        </w:rPr>
        <w:t>及时向甲方通告本项目服务范围内有关服务的重大事项，及时配合处理投诉。</w:t>
      </w:r>
    </w:p>
    <w:p w14:paraId="4576FBD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4.</w:t>
      </w:r>
      <w:r>
        <w:rPr>
          <w:rFonts w:hint="eastAsia" w:ascii="仿宋" w:hAnsi="仿宋" w:eastAsia="仿宋" w:cs="仿宋"/>
          <w:bCs/>
          <w:snapToGrid/>
          <w:color w:val="auto"/>
          <w:kern w:val="2"/>
          <w:sz w:val="24"/>
          <w:szCs w:val="24"/>
          <w:lang w:eastAsia="zh-CN"/>
        </w:rPr>
        <w:t>接受项目行业管理部门及政府有关部门的指导，接受甲方的监督。</w:t>
      </w:r>
    </w:p>
    <w:p w14:paraId="067A6BB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5.</w:t>
      </w:r>
      <w:r>
        <w:rPr>
          <w:rFonts w:hint="eastAsia" w:ascii="仿宋" w:hAnsi="仿宋" w:eastAsia="仿宋" w:cs="仿宋"/>
          <w:bCs/>
          <w:snapToGrid/>
          <w:color w:val="auto"/>
          <w:kern w:val="2"/>
          <w:sz w:val="24"/>
          <w:szCs w:val="24"/>
          <w:lang w:eastAsia="zh-CN"/>
        </w:rPr>
        <w:t>乙方工作人员在维保过程中应采取安全防护措施注意安全，否则发生的任何安全、意外、人身及财产损失全部由乙方承担。若由此给甲方造成损失的，乙方负责全额赔偿。</w:t>
      </w:r>
    </w:p>
    <w:p w14:paraId="15D6909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6.</w:t>
      </w:r>
      <w:r>
        <w:rPr>
          <w:rFonts w:hint="eastAsia" w:ascii="仿宋" w:hAnsi="仿宋" w:eastAsia="仿宋" w:cs="仿宋"/>
          <w:bCs/>
          <w:snapToGrid/>
          <w:color w:val="auto"/>
          <w:kern w:val="2"/>
          <w:sz w:val="24"/>
          <w:szCs w:val="24"/>
          <w:lang w:eastAsia="zh-CN"/>
        </w:rPr>
        <w:t>乙方不得全部或者部分授予第三人完成本合同维保义务，否则甲方有权解除本合同并要求乙方按照合同总价的</w:t>
      </w:r>
      <w:r>
        <w:rPr>
          <w:rFonts w:hint="eastAsia" w:ascii="仿宋" w:hAnsi="仿宋" w:eastAsia="仿宋" w:cs="仿宋"/>
          <w:bCs/>
          <w:snapToGrid/>
          <w:color w:val="auto"/>
          <w:kern w:val="2"/>
          <w:sz w:val="24"/>
          <w:szCs w:val="24"/>
          <w:lang w:val="en-US" w:eastAsia="zh-CN"/>
        </w:rPr>
        <w:t>10</w:t>
      </w:r>
      <w:r>
        <w:rPr>
          <w:rFonts w:hint="eastAsia" w:ascii="仿宋" w:hAnsi="仿宋" w:eastAsia="仿宋" w:cs="仿宋"/>
          <w:bCs/>
          <w:snapToGrid/>
          <w:color w:val="auto"/>
          <w:kern w:val="2"/>
          <w:sz w:val="24"/>
          <w:szCs w:val="24"/>
          <w:lang w:eastAsia="zh-CN"/>
        </w:rPr>
        <w:t>%支付违约金，如违约金不足以弥补甲方损失的，乙方应予以补足甲方损失。</w:t>
      </w:r>
    </w:p>
    <w:p w14:paraId="76B18E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7.</w:t>
      </w:r>
      <w:r>
        <w:rPr>
          <w:rFonts w:hint="eastAsia" w:ascii="仿宋" w:hAnsi="仿宋" w:eastAsia="仿宋" w:cs="仿宋"/>
          <w:bCs/>
          <w:snapToGrid/>
          <w:color w:val="auto"/>
          <w:kern w:val="2"/>
          <w:sz w:val="24"/>
          <w:szCs w:val="24"/>
          <w:lang w:eastAsia="zh-CN"/>
        </w:rPr>
        <w:t>乙方及乙方员工对其获知的甲方的信息（包括但不限于患者信息、设备、管理信息等）具有保密义务，不得以任何形式向第三方泄露，若违反保密义务导致相关信息泄露，</w:t>
      </w:r>
      <w:r>
        <w:rPr>
          <w:rFonts w:hint="eastAsia" w:ascii="仿宋" w:hAnsi="仿宋" w:eastAsia="仿宋" w:cs="仿宋"/>
          <w:bCs/>
          <w:snapToGrid/>
          <w:color w:val="auto"/>
          <w:kern w:val="2"/>
          <w:sz w:val="24"/>
          <w:szCs w:val="24"/>
          <w:lang w:val="en-US" w:eastAsia="zh-CN"/>
        </w:rPr>
        <w:t>所有损失均由</w:t>
      </w:r>
      <w:r>
        <w:rPr>
          <w:rFonts w:hint="eastAsia" w:ascii="仿宋" w:hAnsi="仿宋" w:eastAsia="仿宋" w:cs="仿宋"/>
          <w:bCs/>
          <w:snapToGrid/>
          <w:color w:val="auto"/>
          <w:kern w:val="2"/>
          <w:sz w:val="24"/>
          <w:szCs w:val="24"/>
          <w:lang w:eastAsia="zh-CN"/>
        </w:rPr>
        <w:t>乙方</w:t>
      </w:r>
      <w:r>
        <w:rPr>
          <w:rFonts w:hint="eastAsia" w:ascii="仿宋" w:hAnsi="仿宋" w:eastAsia="仿宋" w:cs="仿宋"/>
          <w:bCs/>
          <w:snapToGrid/>
          <w:color w:val="auto"/>
          <w:kern w:val="2"/>
          <w:sz w:val="24"/>
          <w:szCs w:val="24"/>
          <w:lang w:val="en-US" w:eastAsia="zh-CN"/>
        </w:rPr>
        <w:t>负责</w:t>
      </w:r>
      <w:r>
        <w:rPr>
          <w:rFonts w:hint="eastAsia" w:ascii="仿宋" w:hAnsi="仿宋" w:eastAsia="仿宋" w:cs="仿宋"/>
          <w:bCs/>
          <w:snapToGrid/>
          <w:color w:val="auto"/>
          <w:kern w:val="2"/>
          <w:sz w:val="24"/>
          <w:szCs w:val="24"/>
          <w:lang w:eastAsia="zh-CN"/>
        </w:rPr>
        <w:t>。</w:t>
      </w:r>
    </w:p>
    <w:p w14:paraId="426273E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8.</w:t>
      </w:r>
      <w:r>
        <w:rPr>
          <w:rFonts w:hint="eastAsia" w:ascii="仿宋" w:hAnsi="仿宋" w:eastAsia="仿宋" w:cs="仿宋"/>
          <w:bCs/>
          <w:snapToGrid/>
          <w:color w:val="auto"/>
          <w:kern w:val="2"/>
          <w:sz w:val="24"/>
          <w:szCs w:val="24"/>
          <w:lang w:eastAsia="zh-CN"/>
        </w:rPr>
        <w:t>国家法律法规所规定由乙方承担的其他责任。</w:t>
      </w:r>
    </w:p>
    <w:p w14:paraId="0452137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九、</w:t>
      </w:r>
      <w:r>
        <w:rPr>
          <w:rFonts w:hint="eastAsia" w:ascii="仿宋" w:hAnsi="仿宋" w:eastAsia="仿宋" w:cs="仿宋"/>
          <w:bCs/>
          <w:snapToGrid/>
          <w:color w:val="auto"/>
          <w:kern w:val="2"/>
          <w:sz w:val="24"/>
          <w:szCs w:val="24"/>
          <w:lang w:eastAsia="zh-CN"/>
        </w:rPr>
        <w:t>违约责任</w:t>
      </w:r>
    </w:p>
    <w:p w14:paraId="001EF5A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1.</w:t>
      </w:r>
      <w:r>
        <w:rPr>
          <w:rFonts w:hint="eastAsia" w:ascii="仿宋" w:hAnsi="仿宋" w:eastAsia="仿宋" w:cs="仿宋"/>
          <w:bCs/>
          <w:snapToGrid/>
          <w:color w:val="auto"/>
          <w:kern w:val="2"/>
          <w:sz w:val="24"/>
          <w:szCs w:val="24"/>
          <w:lang w:eastAsia="zh-CN"/>
        </w:rPr>
        <w:t>甲乙双方必须遵守本合同并执行合同中的各项规定，保证本合同的正常履行。</w:t>
      </w:r>
    </w:p>
    <w:p w14:paraId="1D3708A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2.</w:t>
      </w:r>
      <w:r>
        <w:rPr>
          <w:rFonts w:hint="eastAsia" w:ascii="仿宋" w:hAnsi="仿宋" w:eastAsia="仿宋" w:cs="仿宋"/>
          <w:bCs/>
          <w:snapToGrid/>
          <w:color w:val="auto"/>
          <w:kern w:val="2"/>
          <w:sz w:val="24"/>
          <w:szCs w:val="24"/>
          <w:lang w:eastAsia="zh-CN"/>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8E4380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3.</w:t>
      </w:r>
      <w:r>
        <w:rPr>
          <w:rFonts w:hint="eastAsia" w:ascii="仿宋" w:hAnsi="仿宋" w:eastAsia="仿宋" w:cs="仿宋"/>
          <w:bCs/>
          <w:snapToGrid/>
          <w:color w:val="auto"/>
          <w:kern w:val="2"/>
          <w:sz w:val="24"/>
          <w:szCs w:val="24"/>
          <w:lang w:eastAsia="zh-CN"/>
        </w:rPr>
        <w:t>发生其他违约情形，违约方向守约方支付服务费总金额</w:t>
      </w:r>
      <w:r>
        <w:rPr>
          <w:rFonts w:hint="eastAsia" w:ascii="仿宋" w:hAnsi="仿宋" w:eastAsia="仿宋" w:cs="仿宋"/>
          <w:bCs/>
          <w:snapToGrid/>
          <w:color w:val="auto"/>
          <w:kern w:val="2"/>
          <w:sz w:val="24"/>
          <w:szCs w:val="24"/>
          <w:lang w:val="en-US" w:eastAsia="zh-CN"/>
        </w:rPr>
        <w:t>10</w:t>
      </w:r>
      <w:r>
        <w:rPr>
          <w:rFonts w:hint="eastAsia" w:ascii="仿宋" w:hAnsi="仿宋" w:eastAsia="仿宋" w:cs="仿宋"/>
          <w:bCs/>
          <w:snapToGrid/>
          <w:color w:val="auto"/>
          <w:kern w:val="2"/>
          <w:sz w:val="24"/>
          <w:szCs w:val="24"/>
          <w:lang w:eastAsia="zh-CN"/>
        </w:rPr>
        <w:t>％的违约金。如违约方给守约方造成损失，且损失超过本条约定的违约金，违约方还应对超过违约金部分的损失给予补足。如给第三人造成损失的，由违约方承担赔偿责任。</w:t>
      </w:r>
    </w:p>
    <w:p w14:paraId="2D454CF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4</w:t>
      </w:r>
      <w:r>
        <w:rPr>
          <w:rFonts w:hint="eastAsia" w:ascii="仿宋" w:hAnsi="仿宋" w:eastAsia="仿宋" w:cs="仿宋"/>
          <w:bCs/>
          <w:snapToGrid/>
          <w:color w:val="auto"/>
          <w:kern w:val="2"/>
          <w:sz w:val="24"/>
          <w:szCs w:val="24"/>
          <w:lang w:eastAsia="zh-CN"/>
        </w:rPr>
        <w:t>.本合同履行过程中，如有任何一方违约，守约方为保证自己合法权益而产生的诉讼费、差旅费、公告费、律师费等均由违约方承担。</w:t>
      </w:r>
    </w:p>
    <w:p w14:paraId="0039D41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十、</w:t>
      </w:r>
      <w:r>
        <w:rPr>
          <w:rFonts w:hint="eastAsia" w:ascii="仿宋" w:hAnsi="仿宋" w:eastAsia="仿宋" w:cs="仿宋"/>
          <w:bCs/>
          <w:snapToGrid/>
          <w:color w:val="auto"/>
          <w:kern w:val="2"/>
          <w:sz w:val="24"/>
          <w:szCs w:val="24"/>
          <w:lang w:eastAsia="zh-CN"/>
        </w:rPr>
        <w:t>不可抗力事件处理</w:t>
      </w:r>
    </w:p>
    <w:p w14:paraId="18D63CA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1.</w:t>
      </w:r>
      <w:r>
        <w:rPr>
          <w:rFonts w:hint="eastAsia" w:ascii="仿宋" w:hAnsi="仿宋" w:eastAsia="仿宋" w:cs="仿宋"/>
          <w:bCs/>
          <w:snapToGrid/>
          <w:color w:val="auto"/>
          <w:kern w:val="2"/>
          <w:sz w:val="24"/>
          <w:szCs w:val="24"/>
          <w:lang w:eastAsia="zh-CN"/>
        </w:rPr>
        <w:t>在合同有效期内，任何一方因不可抗力事件导致不能履行合同，则合同履行期可延长，其延长期与不可抗力影响期相同。</w:t>
      </w:r>
    </w:p>
    <w:p w14:paraId="2A3597C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2.</w:t>
      </w:r>
      <w:r>
        <w:rPr>
          <w:rFonts w:hint="eastAsia" w:ascii="仿宋" w:hAnsi="仿宋" w:eastAsia="仿宋" w:cs="仿宋"/>
          <w:bCs/>
          <w:snapToGrid/>
          <w:color w:val="auto"/>
          <w:kern w:val="2"/>
          <w:sz w:val="24"/>
          <w:szCs w:val="24"/>
          <w:lang w:eastAsia="zh-CN"/>
        </w:rPr>
        <w:t>不可抗力事件发生后，应立即通知对方，并寄送有关权威机构出具的证明。</w:t>
      </w:r>
    </w:p>
    <w:p w14:paraId="53D4788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rPr>
        <w:t>3.</w:t>
      </w:r>
      <w:r>
        <w:rPr>
          <w:rFonts w:hint="eastAsia" w:ascii="仿宋" w:hAnsi="仿宋" w:eastAsia="仿宋" w:cs="仿宋"/>
          <w:bCs/>
          <w:snapToGrid/>
          <w:color w:val="auto"/>
          <w:kern w:val="2"/>
          <w:sz w:val="24"/>
          <w:szCs w:val="24"/>
          <w:lang w:eastAsia="zh-CN"/>
        </w:rPr>
        <w:t>不可抗力事件延续60天以上，双方应通过友好协商，确定是否继续履行合同。</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1665F6F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baseline"/>
        <w:rPr>
          <w:rFonts w:hint="eastAsia" w:ascii="仿宋" w:hAnsi="仿宋" w:eastAsia="仿宋" w:cs="仿宋"/>
          <w:bCs/>
          <w:snapToGrid/>
          <w:color w:val="auto"/>
          <w:kern w:val="2"/>
          <w:sz w:val="24"/>
          <w:szCs w:val="24"/>
          <w:lang w:eastAsia="zh-CN"/>
        </w:rPr>
      </w:pPr>
      <w:bookmarkStart w:id="41" w:name="_Toc211911353"/>
      <w:bookmarkStart w:id="42" w:name="_Toc225244857"/>
      <w:bookmarkStart w:id="43" w:name="_Toc241833908"/>
      <w:bookmarkStart w:id="44" w:name="_Toc212019599"/>
      <w:bookmarkStart w:id="45" w:name="_Toc232492933"/>
      <w:bookmarkStart w:id="46" w:name="_Toc237145411"/>
      <w:bookmarkStart w:id="47" w:name="_Toc185395254"/>
      <w:bookmarkStart w:id="48" w:name="_Toc225670756"/>
      <w:bookmarkStart w:id="49" w:name="_Toc251768867"/>
      <w:bookmarkStart w:id="50" w:name="_Toc239568423"/>
      <w:bookmarkStart w:id="51" w:name="_Toc247334846"/>
      <w:bookmarkStart w:id="52" w:name="_Toc238984980"/>
      <w:bookmarkStart w:id="53" w:name="_Toc239233919"/>
      <w:bookmarkStart w:id="54" w:name="_Toc211854454"/>
      <w:bookmarkStart w:id="55" w:name="_Toc286993792"/>
      <w:bookmarkStart w:id="56" w:name="_Toc225654649"/>
      <w:r>
        <w:rPr>
          <w:rFonts w:hint="eastAsia" w:ascii="仿宋" w:hAnsi="仿宋" w:eastAsia="仿宋" w:cs="仿宋"/>
          <w:bCs/>
          <w:snapToGrid/>
          <w:color w:val="auto"/>
          <w:kern w:val="2"/>
          <w:sz w:val="24"/>
          <w:szCs w:val="24"/>
          <w:lang w:val="en-US" w:eastAsia="zh-CN"/>
        </w:rPr>
        <w:t>十一、</w:t>
      </w:r>
      <w:r>
        <w:rPr>
          <w:rFonts w:hint="eastAsia" w:ascii="仿宋" w:hAnsi="仿宋" w:eastAsia="仿宋" w:cs="仿宋"/>
          <w:bCs/>
          <w:snapToGrid/>
          <w:color w:val="auto"/>
          <w:kern w:val="2"/>
          <w:sz w:val="24"/>
          <w:szCs w:val="24"/>
          <w:lang w:eastAsia="zh-CN"/>
        </w:rPr>
        <w:t>解决合同纠纷的方式</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229689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Cs/>
          <w:snapToGrid/>
          <w:color w:val="auto"/>
          <w:kern w:val="2"/>
          <w:sz w:val="24"/>
          <w:szCs w:val="24"/>
          <w:lang w:eastAsia="zh-CN"/>
        </w:rPr>
      </w:pPr>
      <w:r>
        <w:rPr>
          <w:rFonts w:hint="eastAsia" w:ascii="仿宋" w:hAnsi="仿宋" w:eastAsia="仿宋" w:cs="仿宋"/>
          <w:snapToGrid/>
          <w:color w:val="auto"/>
          <w:kern w:val="2"/>
          <w:sz w:val="24"/>
          <w:szCs w:val="24"/>
          <w:lang w:eastAsia="zh-CN"/>
        </w:rPr>
        <w:t>因履行本协议导致的纠纷由甲乙双方本着诚信、友好之原则积极协商，如协商无果，可向甲方所在地人民法院提起诉讼。</w:t>
      </w:r>
    </w:p>
    <w:p w14:paraId="58E5476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bidi="ar-SA"/>
        </w:rPr>
        <w:t>十二、其他</w:t>
      </w:r>
    </w:p>
    <w:p w14:paraId="2E185BA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val="0"/>
          <w:bCs w:val="0"/>
          <w:snapToGrid/>
          <w:color w:val="auto"/>
          <w:kern w:val="2"/>
          <w:sz w:val="24"/>
          <w:szCs w:val="24"/>
          <w:lang w:val="en-US" w:eastAsia="zh-CN" w:bidi="ar-SA"/>
        </w:rPr>
      </w:pPr>
      <w:r>
        <w:rPr>
          <w:rFonts w:hint="eastAsia" w:ascii="仿宋" w:hAnsi="仿宋" w:eastAsia="仿宋" w:cs="仿宋"/>
          <w:b w:val="0"/>
          <w:bCs w:val="0"/>
          <w:snapToGrid/>
          <w:color w:val="auto"/>
          <w:kern w:val="2"/>
          <w:sz w:val="24"/>
          <w:szCs w:val="24"/>
          <w:lang w:val="en-US" w:eastAsia="zh-CN" w:bidi="ar-SA"/>
        </w:rPr>
        <w:t>本合同一式伍份，甲方肆份，乙方壹份，甲乙双方签字及盖章后生效。</w:t>
      </w:r>
    </w:p>
    <w:p w14:paraId="7BC8B0D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val="0"/>
          <w:bCs w:val="0"/>
          <w:snapToGrid/>
          <w:color w:val="auto"/>
          <w:kern w:val="2"/>
          <w:sz w:val="24"/>
          <w:szCs w:val="24"/>
          <w:lang w:eastAsia="zh-CN"/>
        </w:rPr>
      </w:pPr>
      <w:r>
        <w:rPr>
          <w:rFonts w:hint="eastAsia" w:ascii="仿宋" w:hAnsi="仿宋" w:eastAsia="仿宋" w:cs="仿宋"/>
          <w:b w:val="0"/>
          <w:bCs w:val="0"/>
          <w:snapToGrid/>
          <w:color w:val="auto"/>
          <w:kern w:val="2"/>
          <w:sz w:val="24"/>
          <w:szCs w:val="24"/>
          <w:lang w:val="en-US" w:eastAsia="zh-CN"/>
        </w:rPr>
        <w:t>十三、</w:t>
      </w:r>
      <w:r>
        <w:rPr>
          <w:rFonts w:hint="eastAsia" w:ascii="仿宋" w:hAnsi="仿宋" w:eastAsia="仿宋" w:cs="仿宋"/>
          <w:b w:val="0"/>
          <w:bCs w:val="0"/>
          <w:snapToGrid/>
          <w:color w:val="auto"/>
          <w:kern w:val="2"/>
          <w:sz w:val="24"/>
          <w:szCs w:val="24"/>
          <w:lang w:eastAsia="zh-CN"/>
        </w:rPr>
        <w:t>《招标文件》及《配置清单》及工作人员培训计划</w:t>
      </w:r>
      <w:r>
        <w:rPr>
          <w:rFonts w:hint="eastAsia" w:ascii="仿宋" w:hAnsi="仿宋" w:eastAsia="仿宋" w:cs="仿宋"/>
          <w:b w:val="0"/>
          <w:bCs w:val="0"/>
          <w:snapToGrid/>
          <w:color w:val="auto"/>
          <w:kern w:val="2"/>
          <w:sz w:val="24"/>
          <w:szCs w:val="24"/>
          <w:lang w:val="en-US" w:eastAsia="zh-CN"/>
        </w:rPr>
        <w:t>及中标（成交）通知书</w:t>
      </w:r>
      <w:r>
        <w:rPr>
          <w:rFonts w:hint="eastAsia" w:ascii="仿宋" w:hAnsi="仿宋" w:eastAsia="仿宋" w:cs="仿宋"/>
          <w:b w:val="0"/>
          <w:bCs w:val="0"/>
          <w:snapToGrid/>
          <w:color w:val="auto"/>
          <w:kern w:val="2"/>
          <w:sz w:val="24"/>
          <w:szCs w:val="24"/>
          <w:lang w:eastAsia="zh-CN"/>
        </w:rPr>
        <w:t>作为本合同附件，与合同条款具备相同效力。</w:t>
      </w:r>
    </w:p>
    <w:p w14:paraId="21BE0DD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val="0"/>
          <w:bCs w:val="0"/>
          <w:snapToGrid/>
          <w:color w:val="auto"/>
          <w:kern w:val="2"/>
          <w:sz w:val="24"/>
          <w:szCs w:val="24"/>
          <w:lang w:eastAsia="zh-CN"/>
        </w:rPr>
      </w:pPr>
      <w:r>
        <w:rPr>
          <w:rFonts w:hint="eastAsia" w:ascii="仿宋" w:hAnsi="仿宋" w:eastAsia="仿宋" w:cs="仿宋"/>
          <w:b w:val="0"/>
          <w:bCs w:val="0"/>
          <w:snapToGrid/>
          <w:color w:val="auto"/>
          <w:kern w:val="2"/>
          <w:sz w:val="24"/>
          <w:szCs w:val="24"/>
          <w:lang w:val="en-US" w:eastAsia="zh-CN"/>
        </w:rPr>
        <w:t>十四、</w:t>
      </w:r>
      <w:r>
        <w:rPr>
          <w:rFonts w:hint="eastAsia" w:ascii="仿宋" w:hAnsi="仿宋" w:eastAsia="仿宋" w:cs="仿宋"/>
          <w:b w:val="0"/>
          <w:bCs w:val="0"/>
          <w:snapToGrid/>
          <w:color w:val="auto"/>
          <w:kern w:val="2"/>
          <w:sz w:val="24"/>
          <w:szCs w:val="24"/>
          <w:lang w:eastAsia="zh-CN"/>
        </w:rPr>
        <w:t>合同及附件中</w:t>
      </w:r>
      <w:r>
        <w:rPr>
          <w:rFonts w:hint="eastAsia" w:ascii="仿宋" w:hAnsi="仿宋" w:eastAsia="仿宋" w:cs="仿宋"/>
          <w:b w:val="0"/>
          <w:bCs w:val="0"/>
          <w:snapToGrid/>
          <w:color w:val="auto"/>
          <w:kern w:val="2"/>
          <w:sz w:val="24"/>
          <w:szCs w:val="24"/>
          <w:lang w:val="en-US" w:eastAsia="zh-CN"/>
        </w:rPr>
        <w:t>如有</w:t>
      </w:r>
      <w:r>
        <w:rPr>
          <w:rFonts w:hint="eastAsia" w:ascii="仿宋" w:hAnsi="仿宋" w:eastAsia="仿宋" w:cs="仿宋"/>
          <w:b w:val="0"/>
          <w:bCs w:val="0"/>
          <w:snapToGrid/>
          <w:color w:val="auto"/>
          <w:kern w:val="2"/>
          <w:sz w:val="24"/>
          <w:szCs w:val="24"/>
          <w:lang w:eastAsia="zh-CN"/>
        </w:rPr>
        <w:t>中英文对照词汇，以中文内容为准。</w:t>
      </w:r>
    </w:p>
    <w:p w14:paraId="1528BF8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val="0"/>
          <w:bCs w:val="0"/>
          <w:snapToGrid/>
          <w:color w:val="auto"/>
          <w:kern w:val="2"/>
          <w:sz w:val="24"/>
          <w:szCs w:val="24"/>
          <w:lang w:eastAsia="zh-CN"/>
        </w:rPr>
      </w:pPr>
      <w:r>
        <w:rPr>
          <w:rFonts w:hint="eastAsia" w:ascii="仿宋" w:hAnsi="仿宋" w:eastAsia="仿宋" w:cs="仿宋"/>
          <w:b w:val="0"/>
          <w:bCs w:val="0"/>
          <w:snapToGrid/>
          <w:color w:val="auto"/>
          <w:kern w:val="2"/>
          <w:sz w:val="24"/>
          <w:szCs w:val="24"/>
          <w:lang w:val="en-US" w:eastAsia="zh-CN"/>
        </w:rPr>
        <w:t>十五、</w:t>
      </w:r>
      <w:r>
        <w:rPr>
          <w:rFonts w:hint="eastAsia" w:ascii="仿宋" w:hAnsi="仿宋" w:eastAsia="仿宋" w:cs="仿宋"/>
          <w:b w:val="0"/>
          <w:bCs w:val="0"/>
          <w:snapToGrid/>
          <w:color w:val="auto"/>
          <w:kern w:val="2"/>
          <w:sz w:val="24"/>
          <w:szCs w:val="24"/>
          <w:lang w:eastAsia="zh-CN"/>
        </w:rPr>
        <w:t>送达</w:t>
      </w:r>
    </w:p>
    <w:p w14:paraId="7A8D5E6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b w:val="0"/>
          <w:bCs w:val="0"/>
          <w:snapToGrid/>
          <w:color w:val="auto"/>
          <w:kern w:val="2"/>
          <w:sz w:val="24"/>
          <w:szCs w:val="24"/>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14:paraId="2D2D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6F27A92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甲方：</w:t>
            </w:r>
          </w:p>
          <w:p w14:paraId="0287CCD1">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（盖章）</w:t>
            </w:r>
          </w:p>
          <w:p w14:paraId="14BBDFE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p>
        </w:tc>
        <w:tc>
          <w:tcPr>
            <w:tcW w:w="2500" w:type="pct"/>
            <w:noWrap w:val="0"/>
            <w:vAlign w:val="top"/>
          </w:tcPr>
          <w:p w14:paraId="6532EC7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乙方：</w:t>
            </w:r>
          </w:p>
          <w:p w14:paraId="37AECF9C">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（盖章）</w:t>
            </w:r>
          </w:p>
          <w:p w14:paraId="1E6BEA6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p>
        </w:tc>
      </w:tr>
      <w:tr w14:paraId="4F69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707CEFE2">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法定代表人（授权代表）：</w:t>
            </w:r>
          </w:p>
        </w:tc>
        <w:tc>
          <w:tcPr>
            <w:tcW w:w="2500" w:type="pct"/>
            <w:noWrap w:val="0"/>
            <w:vAlign w:val="top"/>
          </w:tcPr>
          <w:p w14:paraId="5B73BCFC">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法定代表人（授权代表）：</w:t>
            </w:r>
          </w:p>
        </w:tc>
      </w:tr>
      <w:tr w14:paraId="15E2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8B0FE58">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地址：</w:t>
            </w:r>
          </w:p>
        </w:tc>
        <w:tc>
          <w:tcPr>
            <w:tcW w:w="2500" w:type="pct"/>
            <w:noWrap w:val="0"/>
            <w:vAlign w:val="top"/>
          </w:tcPr>
          <w:p w14:paraId="5479204B">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地址：</w:t>
            </w:r>
          </w:p>
        </w:tc>
      </w:tr>
      <w:tr w14:paraId="3860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6644F62">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开户银行：</w:t>
            </w:r>
          </w:p>
        </w:tc>
        <w:tc>
          <w:tcPr>
            <w:tcW w:w="2500" w:type="pct"/>
            <w:noWrap w:val="0"/>
            <w:vAlign w:val="top"/>
          </w:tcPr>
          <w:p w14:paraId="6EA5C8C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开户银行：</w:t>
            </w:r>
          </w:p>
        </w:tc>
      </w:tr>
      <w:tr w14:paraId="1115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1E8E06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银行账户</w:t>
            </w:r>
            <w:r>
              <w:rPr>
                <w:rFonts w:hint="eastAsia" w:ascii="仿宋" w:hAnsi="仿宋" w:eastAsia="仿宋" w:cs="仿宋"/>
                <w:snapToGrid/>
                <w:color w:val="auto"/>
                <w:kern w:val="2"/>
                <w:sz w:val="24"/>
                <w:szCs w:val="24"/>
                <w:highlight w:val="none"/>
                <w:lang w:eastAsia="zh-CN"/>
              </w:rPr>
              <w:t>：</w:t>
            </w:r>
          </w:p>
        </w:tc>
        <w:tc>
          <w:tcPr>
            <w:tcW w:w="2500" w:type="pct"/>
            <w:noWrap w:val="0"/>
            <w:vAlign w:val="top"/>
          </w:tcPr>
          <w:p w14:paraId="41C954A1">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银行账户</w:t>
            </w:r>
            <w:r>
              <w:rPr>
                <w:rFonts w:hint="eastAsia" w:ascii="仿宋" w:hAnsi="仿宋" w:eastAsia="仿宋" w:cs="仿宋"/>
                <w:snapToGrid/>
                <w:color w:val="auto"/>
                <w:kern w:val="2"/>
                <w:sz w:val="24"/>
                <w:szCs w:val="24"/>
                <w:highlight w:val="none"/>
                <w:lang w:eastAsia="zh-CN"/>
              </w:rPr>
              <w:t>：</w:t>
            </w:r>
          </w:p>
        </w:tc>
      </w:tr>
      <w:tr w14:paraId="0BD8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83A1438">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电话：</w:t>
            </w:r>
          </w:p>
        </w:tc>
        <w:tc>
          <w:tcPr>
            <w:tcW w:w="2500" w:type="pct"/>
            <w:noWrap w:val="0"/>
            <w:vAlign w:val="top"/>
          </w:tcPr>
          <w:p w14:paraId="0B4AF5B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电话：</w:t>
            </w:r>
          </w:p>
        </w:tc>
      </w:tr>
      <w:tr w14:paraId="38EA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EC8896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lang w:eastAsia="zh-CN"/>
              </w:rPr>
              <w:t>纳税人识别号</w:t>
            </w:r>
          </w:p>
        </w:tc>
        <w:tc>
          <w:tcPr>
            <w:tcW w:w="2500" w:type="pct"/>
            <w:noWrap w:val="0"/>
            <w:vAlign w:val="top"/>
          </w:tcPr>
          <w:p w14:paraId="32331EA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lang w:eastAsia="zh-CN"/>
              </w:rPr>
              <w:t>纳税人识别号：</w:t>
            </w:r>
          </w:p>
        </w:tc>
      </w:tr>
      <w:tr w14:paraId="1703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689C53D">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合同签订日期：</w:t>
            </w:r>
          </w:p>
        </w:tc>
        <w:tc>
          <w:tcPr>
            <w:tcW w:w="2500" w:type="pct"/>
            <w:noWrap w:val="0"/>
            <w:vAlign w:val="top"/>
          </w:tcPr>
          <w:p w14:paraId="65805C6C">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合同签订日期：</w:t>
            </w:r>
          </w:p>
        </w:tc>
      </w:tr>
    </w:tbl>
    <w:p w14:paraId="0256ECD8">
      <w:pPr>
        <w:keepNext w:val="0"/>
        <w:keepLines w:val="0"/>
        <w:pageBreakBefore w:val="0"/>
        <w:shd w:val="clear" w:color="auto" w:fill="FFFFFF"/>
        <w:kinsoku/>
        <w:wordWrap/>
        <w:overflowPunct/>
        <w:topLinePunct w:val="0"/>
        <w:bidi w:val="0"/>
        <w:snapToGrid w:val="0"/>
        <w:spacing w:line="480" w:lineRule="exact"/>
        <w:ind w:left="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54891F-7F09-48C4-A9C5-445AA98B59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D53A0D9-12E6-4844-BAF5-8DAD3D1BB54C}"/>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155733AE-CB9E-491B-A6FB-44C0BDFA5B21}"/>
  </w:font>
  <w:font w:name="仿宋_GB2312">
    <w:panose1 w:val="02010609030101010101"/>
    <w:charset w:val="86"/>
    <w:family w:val="auto"/>
    <w:pitch w:val="default"/>
    <w:sig w:usb0="00000001" w:usb1="080E0000" w:usb2="00000000" w:usb3="00000000" w:csb0="00040000" w:csb1="00000000"/>
    <w:embedRegular r:id="rId4" w:fontKey="{716B7240-DC9E-4EBF-8819-5833AFC37581}"/>
  </w:font>
  <w:font w:name="仿宋">
    <w:panose1 w:val="02010609060101010101"/>
    <w:charset w:val="86"/>
    <w:family w:val="auto"/>
    <w:pitch w:val="default"/>
    <w:sig w:usb0="800002BF" w:usb1="38CF7CFA" w:usb2="00000016" w:usb3="00000000" w:csb0="00040001" w:csb1="00000000"/>
    <w:embedRegular r:id="rId5" w:fontKey="{910DCFBA-3113-4B5F-96F5-B69B031AA2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3ED7">
    <w:pPr>
      <w:spacing w:line="240" w:lineRule="auto"/>
      <w:rPr>
        <w:rFonts w:ascii="宋体" w:hAnsi="宋体" w:eastAsia="宋体" w:cs="宋体"/>
        <w:sz w:val="11"/>
        <w:szCs w:val="1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FA40">
    <w:pPr>
      <w:spacing w:line="240" w:lineRule="auto"/>
      <w:rPr>
        <w:rFonts w:ascii="宋体" w:hAnsi="宋体" w:eastAsia="宋体" w:cs="宋体"/>
        <w:sz w:val="11"/>
        <w:szCs w:val="1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1BD9">
    <w:pPr>
      <w:spacing w:line="240" w:lineRule="auto"/>
      <w:rPr>
        <w:rFonts w:ascii="宋体" w:hAnsi="宋体" w:eastAsia="宋体" w:cs="宋体"/>
        <w:sz w:val="11"/>
        <w:szCs w:val="1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1EC0">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570D">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2E15">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0D7951"/>
    <w:rsid w:val="013025B4"/>
    <w:rsid w:val="025C1016"/>
    <w:rsid w:val="02755A92"/>
    <w:rsid w:val="035F7E52"/>
    <w:rsid w:val="039D18E6"/>
    <w:rsid w:val="04F11B66"/>
    <w:rsid w:val="06EC048E"/>
    <w:rsid w:val="07323C5D"/>
    <w:rsid w:val="07741257"/>
    <w:rsid w:val="07AB7E7A"/>
    <w:rsid w:val="086C156F"/>
    <w:rsid w:val="08AC79B9"/>
    <w:rsid w:val="08C94F2B"/>
    <w:rsid w:val="097D1872"/>
    <w:rsid w:val="09E134D2"/>
    <w:rsid w:val="0A32289A"/>
    <w:rsid w:val="0A4043CD"/>
    <w:rsid w:val="0A6749FB"/>
    <w:rsid w:val="0AA03A6A"/>
    <w:rsid w:val="0AB62875"/>
    <w:rsid w:val="0AB706E8"/>
    <w:rsid w:val="0B023DE7"/>
    <w:rsid w:val="0D4977E2"/>
    <w:rsid w:val="0DFF7B1E"/>
    <w:rsid w:val="11AF0D5D"/>
    <w:rsid w:val="12505D75"/>
    <w:rsid w:val="13456A27"/>
    <w:rsid w:val="14103A0E"/>
    <w:rsid w:val="14A34882"/>
    <w:rsid w:val="14EF77DE"/>
    <w:rsid w:val="16117F11"/>
    <w:rsid w:val="16D04278"/>
    <w:rsid w:val="16D056D6"/>
    <w:rsid w:val="18980476"/>
    <w:rsid w:val="189D4889"/>
    <w:rsid w:val="19E77727"/>
    <w:rsid w:val="1A3A1FB2"/>
    <w:rsid w:val="1A8769F4"/>
    <w:rsid w:val="1BC71E6E"/>
    <w:rsid w:val="1C1B7A47"/>
    <w:rsid w:val="1CCC4B92"/>
    <w:rsid w:val="1D61402B"/>
    <w:rsid w:val="1DCF4C7E"/>
    <w:rsid w:val="1EAC02BD"/>
    <w:rsid w:val="200A3E37"/>
    <w:rsid w:val="22CC769A"/>
    <w:rsid w:val="22DF73CD"/>
    <w:rsid w:val="242019DC"/>
    <w:rsid w:val="24A3267C"/>
    <w:rsid w:val="26EA00EF"/>
    <w:rsid w:val="28856217"/>
    <w:rsid w:val="294A30C6"/>
    <w:rsid w:val="29CE2B65"/>
    <w:rsid w:val="29D93476"/>
    <w:rsid w:val="2A64640A"/>
    <w:rsid w:val="2A6A0889"/>
    <w:rsid w:val="2A921E30"/>
    <w:rsid w:val="2C3317E7"/>
    <w:rsid w:val="2C7A7BA5"/>
    <w:rsid w:val="2CB5119F"/>
    <w:rsid w:val="2F4B7B98"/>
    <w:rsid w:val="2F9D4864"/>
    <w:rsid w:val="32607DFF"/>
    <w:rsid w:val="33435756"/>
    <w:rsid w:val="33725533"/>
    <w:rsid w:val="34627E5E"/>
    <w:rsid w:val="35515375"/>
    <w:rsid w:val="35E637E5"/>
    <w:rsid w:val="367E63F9"/>
    <w:rsid w:val="37103BA1"/>
    <w:rsid w:val="37B61084"/>
    <w:rsid w:val="380F5C07"/>
    <w:rsid w:val="38672C71"/>
    <w:rsid w:val="38770CBE"/>
    <w:rsid w:val="38B90269"/>
    <w:rsid w:val="38E066E2"/>
    <w:rsid w:val="39E72CC9"/>
    <w:rsid w:val="3A6E1653"/>
    <w:rsid w:val="3A944CB8"/>
    <w:rsid w:val="3AA80595"/>
    <w:rsid w:val="3D597924"/>
    <w:rsid w:val="3DCC00F6"/>
    <w:rsid w:val="3DE00ACC"/>
    <w:rsid w:val="3E371A14"/>
    <w:rsid w:val="3F012022"/>
    <w:rsid w:val="403D28F6"/>
    <w:rsid w:val="40A00055"/>
    <w:rsid w:val="41B84C62"/>
    <w:rsid w:val="42556256"/>
    <w:rsid w:val="454964D0"/>
    <w:rsid w:val="45594965"/>
    <w:rsid w:val="47136689"/>
    <w:rsid w:val="47250A55"/>
    <w:rsid w:val="48056FFA"/>
    <w:rsid w:val="4B2C0426"/>
    <w:rsid w:val="4C03492F"/>
    <w:rsid w:val="4C5771F3"/>
    <w:rsid w:val="4DFC0584"/>
    <w:rsid w:val="4EA43508"/>
    <w:rsid w:val="4ED259FB"/>
    <w:rsid w:val="4F367C65"/>
    <w:rsid w:val="50D74A4C"/>
    <w:rsid w:val="51891C30"/>
    <w:rsid w:val="52701540"/>
    <w:rsid w:val="53042F77"/>
    <w:rsid w:val="53D045E2"/>
    <w:rsid w:val="54065CB8"/>
    <w:rsid w:val="54817F20"/>
    <w:rsid w:val="553E6EE0"/>
    <w:rsid w:val="57D36B09"/>
    <w:rsid w:val="58083E73"/>
    <w:rsid w:val="585E17C6"/>
    <w:rsid w:val="588D4BFA"/>
    <w:rsid w:val="596D45F7"/>
    <w:rsid w:val="5A8D7133"/>
    <w:rsid w:val="5AB83A84"/>
    <w:rsid w:val="5C5B7E08"/>
    <w:rsid w:val="5C9221C8"/>
    <w:rsid w:val="5D086F45"/>
    <w:rsid w:val="5D641D7E"/>
    <w:rsid w:val="5D9D7F84"/>
    <w:rsid w:val="5DA402F0"/>
    <w:rsid w:val="5DA77BB9"/>
    <w:rsid w:val="60DA5BD2"/>
    <w:rsid w:val="61654558"/>
    <w:rsid w:val="61C3168D"/>
    <w:rsid w:val="6205092E"/>
    <w:rsid w:val="62143C96"/>
    <w:rsid w:val="621E2D67"/>
    <w:rsid w:val="626B5013"/>
    <w:rsid w:val="630E339F"/>
    <w:rsid w:val="6340692E"/>
    <w:rsid w:val="645B3DFE"/>
    <w:rsid w:val="649B337D"/>
    <w:rsid w:val="655B7E2E"/>
    <w:rsid w:val="657F58CB"/>
    <w:rsid w:val="65A02A6F"/>
    <w:rsid w:val="65BB3441"/>
    <w:rsid w:val="65C506A9"/>
    <w:rsid w:val="69022377"/>
    <w:rsid w:val="69704AFB"/>
    <w:rsid w:val="697477BE"/>
    <w:rsid w:val="69FB573C"/>
    <w:rsid w:val="6A8B4C4A"/>
    <w:rsid w:val="6BAE515B"/>
    <w:rsid w:val="6BF80185"/>
    <w:rsid w:val="6C032026"/>
    <w:rsid w:val="6C641E77"/>
    <w:rsid w:val="6D2F4F04"/>
    <w:rsid w:val="6DEE7CCE"/>
    <w:rsid w:val="6EAF5EB0"/>
    <w:rsid w:val="6EE82732"/>
    <w:rsid w:val="6F0926A9"/>
    <w:rsid w:val="6F6D5A92"/>
    <w:rsid w:val="6F6E67C7"/>
    <w:rsid w:val="6F8A2417"/>
    <w:rsid w:val="702E102A"/>
    <w:rsid w:val="70EB1F9C"/>
    <w:rsid w:val="711D243B"/>
    <w:rsid w:val="73B0768A"/>
    <w:rsid w:val="74CE5F27"/>
    <w:rsid w:val="766156EC"/>
    <w:rsid w:val="78E819E6"/>
    <w:rsid w:val="7A1D2B48"/>
    <w:rsid w:val="7ABB4647"/>
    <w:rsid w:val="7BA15D4D"/>
    <w:rsid w:val="7DBC0D95"/>
    <w:rsid w:val="7F0F5AB9"/>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List Paragraph"/>
    <w:basedOn w:val="1"/>
    <w:qFormat/>
    <w:uiPriority w:val="0"/>
    <w:pPr>
      <w:ind w:firstLine="200" w:firstLineChars="200"/>
    </w:pPr>
    <w:rPr>
      <w:szCs w:val="24"/>
    </w:rPr>
  </w:style>
  <w:style w:type="paragraph" w:customStyle="1" w:styleId="12">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6652</Words>
  <Characters>6890</Characters>
  <Lines>0</Lines>
  <Paragraphs>0</Paragraphs>
  <TotalTime>168</TotalTime>
  <ScaleCrop>false</ScaleCrop>
  <LinksUpToDate>false</LinksUpToDate>
  <CharactersWithSpaces>6938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2025-02-18T00:24:00Z</cp:lastPrinted>
  <dcterms:modified xsi:type="dcterms:W3CDTF">2025-10-16T06:54:57Z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