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7DD16">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胸外·甲乳外科设备（二次）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NYCG-2510-ZB-01</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default"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191" w:bottom="1984" w:left="1304" w:header="0" w:footer="2498" w:gutter="0"/>
          <w:pgNumType w:fmt="decimal"/>
          <w:cols w:space="720" w:num="1"/>
        </w:sectPr>
      </w:pPr>
    </w:p>
    <w:p w14:paraId="16F7CA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color w:val="auto"/>
          <w:spacing w:val="10"/>
          <w:sz w:val="28"/>
          <w:szCs w:val="28"/>
          <w:lang w:val="en-US" w:eastAsia="zh-CN"/>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价方式对南江县人民医院胸外·甲乳外科设备（二次）院内采购项目</w:t>
      </w:r>
      <w:r>
        <w:rPr>
          <w:rFonts w:hint="eastAsia" w:ascii="仿宋_GB2312" w:hAnsi="仿宋_GB2312" w:eastAsia="仿宋_GB2312" w:cs="仿宋_GB2312"/>
          <w:color w:val="auto"/>
          <w:spacing w:val="13"/>
          <w:sz w:val="28"/>
          <w:szCs w:val="28"/>
        </w:rPr>
        <w:t>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5EB3DD86">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pacing w:val="-6"/>
          <w:sz w:val="28"/>
          <w:szCs w:val="28"/>
          <w:lang w:val="en-US" w:eastAsia="zh-CN"/>
        </w:rPr>
        <w:t>一、</w:t>
      </w:r>
      <w:r>
        <w:rPr>
          <w:rFonts w:hint="eastAsia" w:ascii="仿宋_GB2312" w:hAnsi="仿宋_GB2312" w:eastAsia="仿宋_GB2312" w:cs="仿宋_GB2312"/>
          <w:color w:val="auto"/>
          <w:spacing w:val="-6"/>
          <w:sz w:val="28"/>
          <w:szCs w:val="28"/>
        </w:rPr>
        <w:t>采购编号：</w:t>
      </w:r>
      <w:r>
        <w:rPr>
          <w:rFonts w:hint="default" w:ascii="仿宋_GB2312" w:hAnsi="仿宋_GB2312" w:eastAsia="仿宋_GB2312" w:cs="仿宋_GB2312"/>
          <w:b w:val="0"/>
          <w:bCs w:val="0"/>
          <w:color w:val="auto"/>
          <w:sz w:val="32"/>
          <w:szCs w:val="32"/>
          <w:lang w:val="en-US" w:eastAsia="zh-CN"/>
        </w:rPr>
        <w:t>NYCG-2510-ZB-01</w:t>
      </w:r>
    </w:p>
    <w:p w14:paraId="40C74FAD">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6"/>
          <w:sz w:val="28"/>
          <w:szCs w:val="28"/>
          <w:lang w:val="en-US" w:eastAsia="zh-CN"/>
        </w:rPr>
      </w:pPr>
      <w:r>
        <w:rPr>
          <w:rFonts w:hint="eastAsia" w:ascii="仿宋_GB2312" w:hAnsi="仿宋_GB2312" w:eastAsia="仿宋_GB2312" w:cs="仿宋_GB2312"/>
          <w:color w:val="auto"/>
          <w:spacing w:val="-6"/>
          <w:sz w:val="28"/>
          <w:szCs w:val="28"/>
          <w:lang w:val="en-US" w:eastAsia="zh-CN"/>
        </w:rPr>
        <w:t>二、项目名称：南江县人民医院胸外·甲乳外科设备院内采购项目</w:t>
      </w:r>
    </w:p>
    <w:p w14:paraId="561089F1">
      <w:pPr>
        <w:keepNext w:val="0"/>
        <w:keepLines w:val="0"/>
        <w:pageBreakBefore w:val="0"/>
        <w:widowControl/>
        <w:kinsoku/>
        <w:wordWrap w:val="0"/>
        <w:overflowPunct/>
        <w:topLinePunct/>
        <w:autoSpaceDE/>
        <w:autoSpaceDN/>
        <w:bidi w:val="0"/>
        <w:adjustRightInd w:val="0"/>
        <w:snapToGrid w:val="0"/>
        <w:spacing w:line="500" w:lineRule="exact"/>
        <w:ind w:right="0" w:firstLine="53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lang w:val="en-US" w:eastAsia="zh-CN"/>
        </w:rPr>
        <w:t>三、采购项目概况：</w:t>
      </w:r>
    </w:p>
    <w:tbl>
      <w:tblPr>
        <w:tblStyle w:val="6"/>
        <w:tblW w:w="89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3655"/>
        <w:gridCol w:w="1005"/>
        <w:gridCol w:w="825"/>
        <w:gridCol w:w="1325"/>
        <w:gridCol w:w="1353"/>
      </w:tblGrid>
      <w:tr w14:paraId="3596D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102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序号</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F4E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设备名称</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79E7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C2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单位</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4AAE">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单价/元</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17FC">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总价/元</w:t>
            </w:r>
          </w:p>
        </w:tc>
      </w:tr>
      <w:tr w14:paraId="19DC3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D0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198E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病床、床头柜、床垫</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B7C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791B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套</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A48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1950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8F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40950</w:t>
            </w:r>
          </w:p>
        </w:tc>
      </w:tr>
      <w:tr w14:paraId="70DD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5A4F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7E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病人监护仪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1E5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FF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CD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20000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3EA5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40000</w:t>
            </w:r>
          </w:p>
        </w:tc>
      </w:tr>
      <w:tr w14:paraId="38A6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FD8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3</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7055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多频震动排痰仪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1FA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7708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770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251C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16000</w:t>
            </w:r>
          </w:p>
        </w:tc>
      </w:tr>
      <w:tr w14:paraId="6C822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D5C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4</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F6F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空气波压力循环治疗仪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62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D34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B91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19000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07E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19000</w:t>
            </w:r>
          </w:p>
        </w:tc>
      </w:tr>
      <w:tr w14:paraId="024F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F305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AF5B1">
            <w:pPr>
              <w:keepNext w:val="0"/>
              <w:keepLines w:val="0"/>
              <w:widowControl/>
              <w:suppressLineNumbers w:val="0"/>
              <w:jc w:val="center"/>
              <w:textAlignment w:val="center"/>
              <w:rPr>
                <w:rFonts w:hint="default" w:ascii="仿宋" w:hAnsi="仿宋" w:eastAsia="仿宋" w:cs="仿宋"/>
                <w:i w:val="0"/>
                <w:iCs w:val="0"/>
                <w:color w:val="000000"/>
                <w:sz w:val="28"/>
                <w:szCs w:val="28"/>
                <w:u w:val="none"/>
                <w:lang w:val="en-US"/>
              </w:rPr>
            </w:pPr>
            <w:r>
              <w:rPr>
                <w:rFonts w:hint="eastAsia" w:ascii="仿宋" w:hAnsi="仿宋" w:eastAsia="仿宋" w:cs="仿宋"/>
                <w:i w:val="0"/>
                <w:iCs w:val="0"/>
                <w:snapToGrid w:val="0"/>
                <w:color w:val="000000"/>
                <w:kern w:val="0"/>
                <w:sz w:val="28"/>
                <w:szCs w:val="28"/>
                <w:u w:val="none"/>
                <w:lang w:val="en-US" w:eastAsia="zh-CN" w:bidi="ar"/>
              </w:rPr>
              <w:t>手术辅助照明灯</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B5FF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BB1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BDC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1CB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1000</w:t>
            </w:r>
          </w:p>
        </w:tc>
      </w:tr>
      <w:tr w14:paraId="3785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FFB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6</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E4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移动式空气消毒机</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3F68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E38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E28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68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5000</w:t>
            </w:r>
          </w:p>
        </w:tc>
      </w:tr>
      <w:tr w14:paraId="399E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09C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7</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52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不锈钢输液车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88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3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8F3A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7D1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3000</w:t>
            </w:r>
          </w:p>
        </w:tc>
      </w:tr>
      <w:tr w14:paraId="1BC19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55B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8</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19B1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不锈钢治疗车</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EC2C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5ED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ADA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826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3000</w:t>
            </w:r>
          </w:p>
        </w:tc>
      </w:tr>
      <w:tr w14:paraId="79883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38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317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电动负压吸引器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FF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B9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F545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1680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FD7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1680</w:t>
            </w:r>
          </w:p>
        </w:tc>
      </w:tr>
      <w:tr w14:paraId="1A32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EB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10</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0E7B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电子体重秤</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957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D27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A056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780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6F0E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780</w:t>
            </w:r>
          </w:p>
        </w:tc>
      </w:tr>
      <w:tr w14:paraId="3EAD8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4A3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11</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B5B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轮椅</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A71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7B3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C4E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620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5999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1240</w:t>
            </w:r>
          </w:p>
        </w:tc>
      </w:tr>
      <w:tr w14:paraId="1A7B6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774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12</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00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红光治疗仪</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70D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6B3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台</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3A3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F816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15000</w:t>
            </w:r>
          </w:p>
        </w:tc>
      </w:tr>
      <w:tr w14:paraId="66468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CDD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13</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A629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检查床</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37C3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79B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张</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689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980</w:t>
            </w: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A79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980</w:t>
            </w:r>
          </w:p>
        </w:tc>
      </w:tr>
      <w:tr w14:paraId="03351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690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合计</w:t>
            </w:r>
          </w:p>
        </w:tc>
        <w:tc>
          <w:tcPr>
            <w:tcW w:w="3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A29B">
            <w:pPr>
              <w:jc w:val="center"/>
              <w:rPr>
                <w:rFonts w:hint="eastAsia" w:ascii="仿宋" w:hAnsi="仿宋" w:eastAsia="仿宋" w:cs="仿宋"/>
                <w:i w:val="0"/>
                <w:iCs w:val="0"/>
                <w:color w:val="000000"/>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626E2">
            <w:pPr>
              <w:jc w:val="center"/>
              <w:rPr>
                <w:rFonts w:hint="eastAsia" w:ascii="仿宋" w:hAnsi="仿宋" w:eastAsia="仿宋" w:cs="仿宋"/>
                <w:i w:val="0"/>
                <w:iCs w:val="0"/>
                <w:color w:val="000000"/>
                <w:sz w:val="28"/>
                <w:szCs w:val="28"/>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358C">
            <w:pPr>
              <w:jc w:val="center"/>
              <w:rPr>
                <w:rFonts w:hint="eastAsia" w:ascii="仿宋" w:hAnsi="仿宋" w:eastAsia="仿宋" w:cs="仿宋"/>
                <w:i w:val="0"/>
                <w:iCs w:val="0"/>
                <w:color w:val="000000"/>
                <w:sz w:val="28"/>
                <w:szCs w:val="2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B0F1">
            <w:pPr>
              <w:jc w:val="center"/>
              <w:rPr>
                <w:rFonts w:hint="eastAsia" w:ascii="仿宋" w:hAnsi="仿宋" w:eastAsia="仿宋" w:cs="仿宋"/>
                <w:i w:val="0"/>
                <w:iCs w:val="0"/>
                <w:color w:val="000000"/>
                <w:sz w:val="28"/>
                <w:szCs w:val="28"/>
                <w:u w:val="none"/>
              </w:rPr>
            </w:pPr>
          </w:p>
        </w:tc>
        <w:tc>
          <w:tcPr>
            <w:tcW w:w="1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90E0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147630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jc w:val="both"/>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snapToGrid w:val="0"/>
          <w:color w:val="auto"/>
          <w:spacing w:val="2"/>
          <w:kern w:val="0"/>
          <w:sz w:val="28"/>
          <w:szCs w:val="28"/>
          <w:lang w:val="en-US" w:eastAsia="zh-CN" w:bidi="ar-SA"/>
        </w:rPr>
        <w:t>四、</w:t>
      </w:r>
      <w:r>
        <w:rPr>
          <w:rFonts w:hint="eastAsia" w:ascii="仿宋_GB2312" w:hAnsi="仿宋_GB2312" w:eastAsia="仿宋_GB2312" w:cs="仿宋_GB2312"/>
          <w:color w:val="auto"/>
          <w:spacing w:val="2"/>
          <w:sz w:val="28"/>
          <w:szCs w:val="28"/>
        </w:rPr>
        <w:t>最高限价：</w:t>
      </w:r>
      <w:r>
        <w:rPr>
          <w:rFonts w:hint="eastAsia" w:ascii="仿宋_GB2312" w:hAnsi="仿宋_GB2312" w:eastAsia="仿宋_GB2312" w:cs="仿宋_GB2312"/>
          <w:color w:val="auto"/>
          <w:spacing w:val="2"/>
          <w:sz w:val="28"/>
          <w:szCs w:val="28"/>
          <w:u w:val="single"/>
          <w:lang w:val="en-US" w:eastAsia="zh-CN"/>
        </w:rPr>
        <w:t>147630</w:t>
      </w:r>
      <w:r>
        <w:rPr>
          <w:rFonts w:hint="eastAsia" w:ascii="仿宋_GB2312" w:hAnsi="仿宋_GB2312" w:eastAsia="仿宋_GB2312" w:cs="仿宋_GB2312"/>
          <w:color w:val="auto"/>
          <w:spacing w:val="2"/>
          <w:sz w:val="28"/>
          <w:szCs w:val="28"/>
        </w:rPr>
        <w:t>元。报价金额高于</w:t>
      </w:r>
      <w:r>
        <w:rPr>
          <w:rFonts w:hint="eastAsia" w:ascii="仿宋_GB2312" w:hAnsi="仿宋_GB2312" w:eastAsia="仿宋_GB2312" w:cs="仿宋_GB2312"/>
          <w:color w:val="auto"/>
          <w:spacing w:val="-1"/>
          <w:sz w:val="28"/>
          <w:szCs w:val="28"/>
          <w:vertAlign w:val="baseline"/>
          <w:lang w:val="en-US" w:eastAsia="zh-CN"/>
        </w:rPr>
        <w:t>控制总价</w:t>
      </w:r>
      <w:r>
        <w:rPr>
          <w:rFonts w:hint="eastAsia" w:ascii="仿宋_GB2312" w:hAnsi="仿宋_GB2312" w:eastAsia="仿宋_GB2312" w:cs="仿宋_GB2312"/>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84"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lang w:val="en-US" w:eastAsia="zh-CN"/>
        </w:rPr>
        <w:t>五、</w:t>
      </w:r>
      <w:r>
        <w:rPr>
          <w:rFonts w:hint="eastAsia" w:ascii="仿宋_GB2312" w:hAnsi="仿宋_GB2312" w:eastAsia="仿宋_GB2312" w:cs="仿宋_GB2312"/>
          <w:color w:val="auto"/>
          <w:spacing w:val="6"/>
          <w:sz w:val="28"/>
          <w:szCs w:val="28"/>
        </w:rPr>
        <w:t>参加竞价的方式：1家进行议价，2家及以上进行竞价。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六、</w:t>
      </w:r>
      <w:r>
        <w:rPr>
          <w:rFonts w:hint="eastAsia" w:ascii="仿宋_GB2312" w:hAnsi="仿宋_GB2312" w:eastAsia="仿宋_GB2312" w:cs="仿宋_GB2312"/>
          <w:color w:val="auto"/>
          <w:sz w:val="28"/>
          <w:szCs w:val="28"/>
        </w:rPr>
        <w:t>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7547F325">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20C454F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p>
    <w:tbl>
      <w:tblPr>
        <w:tblStyle w:val="7"/>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410"/>
        <w:gridCol w:w="7056"/>
      </w:tblGrid>
      <w:tr w14:paraId="41EBF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 w:type="dxa"/>
            <w:vAlign w:val="center"/>
          </w:tcPr>
          <w:p w14:paraId="291A102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序号</w:t>
            </w:r>
          </w:p>
        </w:tc>
        <w:tc>
          <w:tcPr>
            <w:tcW w:w="1410" w:type="dxa"/>
            <w:vAlign w:val="center"/>
          </w:tcPr>
          <w:p w14:paraId="3253C145">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设备名称</w:t>
            </w:r>
          </w:p>
        </w:tc>
        <w:tc>
          <w:tcPr>
            <w:tcW w:w="7056" w:type="dxa"/>
            <w:vAlign w:val="center"/>
          </w:tcPr>
          <w:p w14:paraId="3E83B16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bCs/>
                <w:color w:val="auto"/>
                <w:spacing w:val="-6"/>
                <w:sz w:val="28"/>
                <w:szCs w:val="28"/>
                <w:vertAlign w:val="baseline"/>
                <w:lang w:val="en-US" w:eastAsia="zh-CN"/>
              </w:rPr>
            </w:pPr>
            <w:r>
              <w:rPr>
                <w:rFonts w:hint="eastAsia" w:ascii="仿宋" w:hAnsi="仿宋" w:eastAsia="仿宋" w:cs="仿宋"/>
                <w:b/>
                <w:bCs/>
                <w:color w:val="auto"/>
                <w:spacing w:val="-6"/>
                <w:sz w:val="28"/>
                <w:szCs w:val="28"/>
                <w:vertAlign w:val="baseline"/>
                <w:lang w:val="en-US" w:eastAsia="zh-CN"/>
              </w:rPr>
              <w:t>技术参数</w:t>
            </w:r>
          </w:p>
        </w:tc>
      </w:tr>
      <w:tr w14:paraId="377E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852" w:type="dxa"/>
            <w:vAlign w:val="center"/>
          </w:tcPr>
          <w:p w14:paraId="0EE91B5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w:t>
            </w:r>
          </w:p>
        </w:tc>
        <w:tc>
          <w:tcPr>
            <w:tcW w:w="1410" w:type="dxa"/>
            <w:vAlign w:val="center"/>
          </w:tcPr>
          <w:p w14:paraId="5D72C61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病床</w:t>
            </w:r>
          </w:p>
        </w:tc>
        <w:tc>
          <w:tcPr>
            <w:tcW w:w="7056" w:type="dxa"/>
            <w:vAlign w:val="center"/>
          </w:tcPr>
          <w:p w14:paraId="3A2BA64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1.床的规格：长：＞2000mm；宽：＞900mm；高：≥500mm</w:t>
            </w:r>
          </w:p>
          <w:p w14:paraId="23F9CEA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病床可以升降背部和腿部。</w:t>
            </w:r>
          </w:p>
          <w:p w14:paraId="4A7BA293">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2.配置：ABS床头尾板、摇杆系统、引流挂钩、杂物架、隐藏式餐桌板放置架及隐藏餐桌板、静音脚轮带刹车、铝合金护栏、输液架插座、输液杆、床垫、ABS床头柜。</w:t>
            </w:r>
          </w:p>
          <w:p w14:paraId="4A0FACF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3.床头、床尾板：全ABS材料，一次注塑成型，带防撞护角；采用快速拆卸开关结构，具有快速打开、自动锁紧功能和急救板功能。</w:t>
            </w:r>
          </w:p>
          <w:p w14:paraId="0E87A72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4.床面板需采用冷轧板材一次性冲压成型，表面光滑无毛刺且人体接触或存放物品的地方应无毛刺、刃口、棱角整体床面形成凹型面板结构，有透气孔；床板四周具有承重支撑件，增加承载力。</w:t>
            </w:r>
          </w:p>
          <w:p w14:paraId="453A1BF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5.病床金属部位经过无害的物质喷涂，涂层均匀，具有抗菌，抗酸碱、耐腐蚀、耐褪色。</w:t>
            </w:r>
          </w:p>
          <w:p w14:paraId="395D208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6.摇杆系统摇把采用ABS材质或ABS材质外包，具备防撞结构设计，为防止摇把在不正确使用时损坏，丝杆具有过盈保护装置，可0°～180°折叠。</w:t>
            </w:r>
          </w:p>
          <w:p w14:paraId="644A4BA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7.引流挂钩采用金属材料一次性弯制成型，对称式快速挂钩，方便安装和拆卸。</w:t>
            </w:r>
          </w:p>
          <w:p w14:paraId="1F926E1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稳定性检测要合格、床铺面垂直静载荷检测要合格、床侧边垂直静载荷检测要合格、床铺面水平耐久性检测要合格、床框架水平耐久性检测要合格；床铺面冲击载荷，床面动态载荷承受≥250KG，均布载荷承受≥300KG；床结构耐久性，床板升降到最高和最低点时继续摇动摇手不会造成结构性损坏。（</w:t>
            </w:r>
            <w:r>
              <w:rPr>
                <w:rFonts w:hint="eastAsia" w:ascii="仿宋" w:hAnsi="仿宋" w:eastAsia="仿宋" w:cs="仿宋"/>
                <w:b/>
                <w:bCs/>
                <w:color w:val="auto"/>
                <w:spacing w:val="-6"/>
                <w:sz w:val="28"/>
                <w:szCs w:val="28"/>
                <w:u w:val="single"/>
                <w:vertAlign w:val="baseline"/>
                <w:lang w:val="en-US" w:eastAsia="zh-CN"/>
              </w:rPr>
              <w:t>提供证明资料</w:t>
            </w:r>
            <w:r>
              <w:rPr>
                <w:rFonts w:hint="eastAsia" w:ascii="仿宋" w:hAnsi="仿宋" w:eastAsia="仿宋" w:cs="仿宋"/>
                <w:b w:val="0"/>
                <w:bCs w:val="0"/>
                <w:color w:val="auto"/>
                <w:spacing w:val="-6"/>
                <w:sz w:val="28"/>
                <w:szCs w:val="28"/>
                <w:vertAlign w:val="baseline"/>
                <w:lang w:val="en-US" w:eastAsia="zh-CN"/>
              </w:rPr>
              <w:t>）</w:t>
            </w:r>
          </w:p>
          <w:p w14:paraId="3BAC462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9.铝合金折叠护栏：护栏升起后护栏上缘距离床面有效护栏高度≥30CM，有效防止老年患者发生坠床风险。</w:t>
            </w:r>
          </w:p>
          <w:p w14:paraId="22859F3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10.刹车轮：脚轮直径≥5寸的高级静音轮，四轮带刹，推动平稳灵活，制动稳定可靠。</w:t>
            </w:r>
          </w:p>
          <w:p w14:paraId="2646DE0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11.床垫：床垫尺寸和分段与病床相配，面料耐干摩擦≥4级，耐湿摩擦≥3级，抗菌（</w:t>
            </w:r>
            <w:r>
              <w:rPr>
                <w:rFonts w:hint="eastAsia" w:ascii="仿宋" w:hAnsi="仿宋" w:eastAsia="仿宋" w:cs="仿宋"/>
                <w:b/>
                <w:bCs/>
                <w:color w:val="auto"/>
                <w:spacing w:val="-6"/>
                <w:sz w:val="28"/>
                <w:szCs w:val="28"/>
                <w:u w:val="single"/>
                <w:vertAlign w:val="baseline"/>
                <w:lang w:val="en-US" w:eastAsia="zh-CN"/>
              </w:rPr>
              <w:t>提供相关证明资料</w:t>
            </w:r>
            <w:r>
              <w:rPr>
                <w:rFonts w:hint="eastAsia" w:ascii="仿宋" w:hAnsi="仿宋" w:eastAsia="仿宋" w:cs="仿宋"/>
                <w:b w:val="0"/>
                <w:bCs w:val="0"/>
                <w:color w:val="auto"/>
                <w:spacing w:val="-6"/>
                <w:sz w:val="28"/>
                <w:szCs w:val="28"/>
                <w:vertAlign w:val="baseline"/>
                <w:lang w:val="en-US" w:eastAsia="zh-CN"/>
              </w:rPr>
              <w:t>）。</w:t>
            </w:r>
          </w:p>
          <w:p w14:paraId="278C8CFE">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12.床头柜：规格为≥长450*宽420*高750mm，采用ABS高级工程塑料注塑成型，表面易清洗、擦拭，整体美观大方，带有毛巾架、手提袋挂钩、餐板，上抽、下柜，柜内有隔板，可放置不同规格物品。</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15"/>
              <w:gridCol w:w="3415"/>
            </w:tblGrid>
            <w:tr w14:paraId="2055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30" w:type="dxa"/>
                  <w:gridSpan w:val="2"/>
                  <w:vAlign w:val="center"/>
                </w:tcPr>
                <w:p w14:paraId="68D1676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配置清单</w:t>
                  </w:r>
                </w:p>
              </w:tc>
            </w:tr>
            <w:tr w14:paraId="6A691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27EBAA7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配置产品名称</w:t>
                  </w:r>
                </w:p>
              </w:tc>
              <w:tc>
                <w:tcPr>
                  <w:tcW w:w="3415" w:type="dxa"/>
                  <w:vAlign w:val="center"/>
                </w:tcPr>
                <w:p w14:paraId="226EE231">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数量</w:t>
                  </w:r>
                </w:p>
              </w:tc>
            </w:tr>
            <w:tr w14:paraId="6C70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7D674C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床头尾板</w:t>
                  </w:r>
                </w:p>
              </w:tc>
              <w:tc>
                <w:tcPr>
                  <w:tcW w:w="3415" w:type="dxa"/>
                  <w:vAlign w:val="center"/>
                </w:tcPr>
                <w:p w14:paraId="4AAC019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1对</w:t>
                  </w:r>
                </w:p>
              </w:tc>
            </w:tr>
            <w:tr w14:paraId="5DCC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5791BAE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不锈钢护栏</w:t>
                  </w:r>
                </w:p>
              </w:tc>
              <w:tc>
                <w:tcPr>
                  <w:tcW w:w="3415" w:type="dxa"/>
                  <w:vAlign w:val="center"/>
                </w:tcPr>
                <w:p w14:paraId="0D11522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1对</w:t>
                  </w:r>
                </w:p>
              </w:tc>
            </w:tr>
            <w:tr w14:paraId="2CD25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49A3F8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摇杆系统</w:t>
                  </w:r>
                </w:p>
              </w:tc>
              <w:tc>
                <w:tcPr>
                  <w:tcW w:w="3415" w:type="dxa"/>
                  <w:vAlign w:val="center"/>
                </w:tcPr>
                <w:p w14:paraId="03715235">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2套</w:t>
                  </w:r>
                </w:p>
              </w:tc>
            </w:tr>
            <w:tr w14:paraId="4D9FE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9F519DA">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5寸单刹脚轮</w:t>
                  </w:r>
                </w:p>
              </w:tc>
              <w:tc>
                <w:tcPr>
                  <w:tcW w:w="3415" w:type="dxa"/>
                  <w:vAlign w:val="center"/>
                </w:tcPr>
                <w:p w14:paraId="31B904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4只</w:t>
                  </w:r>
                </w:p>
              </w:tc>
            </w:tr>
            <w:tr w14:paraId="00A6D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0BF0E0C0">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引流袋挂钩</w:t>
                  </w:r>
                </w:p>
              </w:tc>
              <w:tc>
                <w:tcPr>
                  <w:tcW w:w="3415" w:type="dxa"/>
                  <w:vAlign w:val="center"/>
                </w:tcPr>
                <w:p w14:paraId="482BE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2个</w:t>
                  </w:r>
                </w:p>
              </w:tc>
            </w:tr>
            <w:tr w14:paraId="02AB7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17711D2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隐藏式餐板放置架</w:t>
                  </w:r>
                </w:p>
              </w:tc>
              <w:tc>
                <w:tcPr>
                  <w:tcW w:w="3415" w:type="dxa"/>
                  <w:vAlign w:val="center"/>
                </w:tcPr>
                <w:p w14:paraId="57C1409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2E84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3357326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杂物架</w:t>
                  </w:r>
                </w:p>
              </w:tc>
              <w:tc>
                <w:tcPr>
                  <w:tcW w:w="3415" w:type="dxa"/>
                  <w:vAlign w:val="center"/>
                </w:tcPr>
                <w:p w14:paraId="0EA53C3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2FF1E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147EC651">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餐桌板</w:t>
                  </w:r>
                </w:p>
              </w:tc>
              <w:tc>
                <w:tcPr>
                  <w:tcW w:w="3415" w:type="dxa"/>
                  <w:vAlign w:val="center"/>
                </w:tcPr>
                <w:p w14:paraId="466824C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44C7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6405DEA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床垫</w:t>
                  </w:r>
                </w:p>
              </w:tc>
              <w:tc>
                <w:tcPr>
                  <w:tcW w:w="3415" w:type="dxa"/>
                  <w:vAlign w:val="center"/>
                </w:tcPr>
                <w:p w14:paraId="63FE5E6F">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1张</w:t>
                  </w:r>
                </w:p>
              </w:tc>
            </w:tr>
            <w:tr w14:paraId="0C00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79B7AB0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床头柜</w:t>
                  </w:r>
                </w:p>
              </w:tc>
              <w:tc>
                <w:tcPr>
                  <w:tcW w:w="3415" w:type="dxa"/>
                  <w:vAlign w:val="center"/>
                </w:tcPr>
                <w:p w14:paraId="14E333A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1个</w:t>
                  </w:r>
                </w:p>
              </w:tc>
            </w:tr>
            <w:tr w14:paraId="031DF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5" w:type="dxa"/>
                  <w:vAlign w:val="center"/>
                </w:tcPr>
                <w:p w14:paraId="4802EB9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输液杆</w:t>
                  </w:r>
                </w:p>
              </w:tc>
              <w:tc>
                <w:tcPr>
                  <w:tcW w:w="3415" w:type="dxa"/>
                  <w:vAlign w:val="center"/>
                </w:tcPr>
                <w:p w14:paraId="75E84B6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1根</w:t>
                  </w:r>
                </w:p>
              </w:tc>
            </w:tr>
          </w:tbl>
          <w:p w14:paraId="1953B31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p>
        </w:tc>
      </w:tr>
      <w:tr w14:paraId="6CBC7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30CC0E04">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w:t>
            </w:r>
          </w:p>
        </w:tc>
        <w:tc>
          <w:tcPr>
            <w:tcW w:w="1410" w:type="dxa"/>
            <w:vAlign w:val="center"/>
          </w:tcPr>
          <w:p w14:paraId="142E1EF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病人监护仪</w:t>
            </w:r>
          </w:p>
        </w:tc>
        <w:tc>
          <w:tcPr>
            <w:tcW w:w="7056" w:type="dxa"/>
            <w:vAlign w:val="center"/>
          </w:tcPr>
          <w:p w14:paraId="4BAFAF5E">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bCs/>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1.≥10英寸彩色触摸屏，分辨率≥1280*800，≥6通道波形显示；使用年限≥10年。</w:t>
            </w:r>
            <w:r>
              <w:rPr>
                <w:rFonts w:hint="eastAsia" w:ascii="仿宋" w:hAnsi="仿宋" w:eastAsia="仿宋" w:cs="仿宋"/>
                <w:b/>
                <w:bCs/>
                <w:color w:val="auto"/>
                <w:spacing w:val="-6"/>
                <w:sz w:val="28"/>
                <w:szCs w:val="28"/>
                <w:vertAlign w:val="baseline"/>
                <w:lang w:val="en-US" w:eastAsia="zh-CN"/>
              </w:rPr>
              <w:t>（提供产品说明书或其他证明文件）</w:t>
            </w:r>
          </w:p>
          <w:p w14:paraId="6CC2452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bCs/>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2.显示屏采用宽视角技术，支持170度可视范围，</w:t>
            </w:r>
            <w:r>
              <w:rPr>
                <w:rFonts w:hint="eastAsia" w:ascii="仿宋" w:hAnsi="仿宋" w:eastAsia="仿宋" w:cs="仿宋"/>
                <w:b/>
                <w:bCs/>
                <w:color w:val="auto"/>
                <w:spacing w:val="-6"/>
                <w:sz w:val="28"/>
                <w:szCs w:val="28"/>
                <w:vertAlign w:val="baseline"/>
                <w:lang w:val="en-US" w:eastAsia="zh-CN"/>
              </w:rPr>
              <w:t>提供彩页等证明材料。</w:t>
            </w:r>
          </w:p>
          <w:p w14:paraId="49AEDE9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3.至少具备以下参数监测功能：3/5导心电，呼吸，无创血压，血氧饱和度，脉搏和双通道体温参数监测，参数监测适用于成人、小儿、新生儿患者。</w:t>
            </w:r>
          </w:p>
          <w:p w14:paraId="57501AE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4.提供SpO2,PR和PI参数的实时监测，适用于成人，小儿和新生儿。来自SpO2的PR测量范围：20-300。</w:t>
            </w:r>
          </w:p>
          <w:p w14:paraId="701FB0E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5.支持指套式血氧探头，IPX7防水等级，支持液体浸泡消毒和清洁。</w:t>
            </w:r>
          </w:p>
          <w:p w14:paraId="6D89F72A">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6.提供手动，自动，连续、序列和整点5种测量模式，提供24小时血压统计结果。</w:t>
            </w:r>
          </w:p>
          <w:p w14:paraId="2A35193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7.提供呼吸测量，适用于成人、小儿和新生儿。呼吸测量范围：1-200 rpm。</w:t>
            </w:r>
          </w:p>
          <w:p w14:paraId="14876F04">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8.配置无创血压测量，适用于成人，小儿和新生儿。</w:t>
            </w:r>
          </w:p>
          <w:p w14:paraId="5B0F46C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9.支持≥1000组NIBP测量结果。</w:t>
            </w:r>
          </w:p>
          <w:p w14:paraId="531AA64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10.具有图形化技术报警指示功能，帮助医护团队快速识别报警来源。</w:t>
            </w:r>
          </w:p>
          <w:p w14:paraId="35C10BD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bCs/>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11.监护仪主机工作温度环境范围：0～40°C。（</w:t>
            </w:r>
            <w:r>
              <w:rPr>
                <w:rFonts w:hint="eastAsia" w:ascii="仿宋" w:hAnsi="仿宋" w:eastAsia="仿宋" w:cs="仿宋"/>
                <w:b/>
                <w:bCs/>
                <w:color w:val="auto"/>
                <w:spacing w:val="-6"/>
                <w:sz w:val="28"/>
                <w:szCs w:val="28"/>
                <w:vertAlign w:val="baseline"/>
                <w:lang w:val="en-US" w:eastAsia="zh-CN"/>
              </w:rPr>
              <w:t>提供产品说明书或检测报告证明文件）</w:t>
            </w:r>
          </w:p>
          <w:p w14:paraId="7F8F009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12.安全规格：ECG, TEMP, IBP, SpO2, NIBP监测参数抗电击程度为防除颤CF型。</w:t>
            </w:r>
          </w:p>
          <w:p w14:paraId="6627667A">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13.支持所有监测参数报警限一键自动设置功能，满足医护团队快速管理患者报警需求。</w:t>
            </w:r>
          </w:p>
          <w:p w14:paraId="6FCA722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14.支持格拉斯哥昏迷评分（GCS）功能。</w:t>
            </w:r>
          </w:p>
          <w:p w14:paraId="6ACC026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15.提供屏幕截图功能，将屏幕截图通过USB接口导出到U盘。</w:t>
            </w:r>
          </w:p>
        </w:tc>
      </w:tr>
      <w:tr w14:paraId="2E57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4206B32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w:t>
            </w:r>
          </w:p>
        </w:tc>
        <w:tc>
          <w:tcPr>
            <w:tcW w:w="1410" w:type="dxa"/>
            <w:vAlign w:val="center"/>
          </w:tcPr>
          <w:p w14:paraId="0FDC5A9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电动吸引器</w:t>
            </w:r>
          </w:p>
        </w:tc>
        <w:tc>
          <w:tcPr>
            <w:tcW w:w="7056" w:type="dxa"/>
            <w:vAlign w:val="center"/>
          </w:tcPr>
          <w:p w14:paraId="0FCE824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1.配置：电动吸引器由活塞泵、真空表、负压调节器、空气过滤器、贮液瓶、吸引管道、脚踏开关组成。</w:t>
            </w:r>
          </w:p>
          <w:p w14:paraId="1FC55A6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2.极限负压值≥0.08Mpa</w:t>
            </w:r>
          </w:p>
          <w:p w14:paraId="6B333484">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3.负压调节范围：20kPa－极限负压值</w:t>
            </w:r>
          </w:p>
          <w:p w14:paraId="12419CB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4.抽气速率≥20L/MIN</w:t>
            </w:r>
          </w:p>
          <w:p w14:paraId="338235C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5.贮液瓶：≥2500ml/只，2只一组</w:t>
            </w:r>
          </w:p>
          <w:p w14:paraId="5550FF4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6.噪音：≤65dB（A）</w:t>
            </w:r>
          </w:p>
        </w:tc>
      </w:tr>
      <w:tr w14:paraId="7667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5962ED91">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w:t>
            </w:r>
          </w:p>
        </w:tc>
        <w:tc>
          <w:tcPr>
            <w:tcW w:w="1410" w:type="dxa"/>
            <w:vAlign w:val="center"/>
          </w:tcPr>
          <w:p w14:paraId="0DA8938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电子体重秤</w:t>
            </w:r>
          </w:p>
        </w:tc>
        <w:tc>
          <w:tcPr>
            <w:tcW w:w="7056" w:type="dxa"/>
            <w:vAlign w:val="center"/>
          </w:tcPr>
          <w:p w14:paraId="5906C9D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1.称重范围：0-200kg，分度值：100g</w:t>
            </w:r>
          </w:p>
          <w:p w14:paraId="009042C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2.带去皮功能</w:t>
            </w:r>
          </w:p>
          <w:p w14:paraId="0F37160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3.身高测量范围：70～190cm，分度值：0.5cm</w:t>
            </w:r>
          </w:p>
          <w:p w14:paraId="5EAFD3F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4.称重台面尺寸：≥370*270mm</w:t>
            </w:r>
          </w:p>
          <w:p w14:paraId="0D6B1D36">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5.使用环境：温度0℃℃~40℃，湿度≤90%RH7</w:t>
            </w:r>
          </w:p>
          <w:p w14:paraId="4E2A365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6.显示：LCD或LED</w:t>
            </w:r>
          </w:p>
        </w:tc>
      </w:tr>
      <w:tr w14:paraId="0864A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10BA97F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w:t>
            </w:r>
          </w:p>
        </w:tc>
        <w:tc>
          <w:tcPr>
            <w:tcW w:w="1410" w:type="dxa"/>
            <w:vAlign w:val="center"/>
          </w:tcPr>
          <w:p w14:paraId="2BEAACD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多频振动排痰机</w:t>
            </w:r>
          </w:p>
        </w:tc>
        <w:tc>
          <w:tcPr>
            <w:tcW w:w="7056" w:type="dxa"/>
            <w:vAlign w:val="center"/>
          </w:tcPr>
          <w:p w14:paraId="71A99AC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w:t>
            </w:r>
          </w:p>
          <w:p w14:paraId="0DB40BB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通过振动叩击，改善患者肺部血液循环状况、协助排出呼吸道分泌物。通过电机驱动的振动器产生高频振动，在人体表面产生特定方向周期变化的治疗力，这些振动的治疗力传导到患者的胸部或背部，作用于呼吸道。垂直方向治疗力产生的叩击、震颤可促使呼吸道黏膜表面粘液代谢物松动、液化；水平方向治疗力产生的定向挤推、震颤帮助已经液化的粘液按照既定方向排出体外。</w:t>
            </w:r>
          </w:p>
          <w:p w14:paraId="4017640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5F8F68E6">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1.传动软轴长：1800mm，允差±10%。</w:t>
            </w:r>
          </w:p>
          <w:p w14:paraId="59EB1346">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2.显示方式：≥10英寸液晶显示。</w:t>
            </w:r>
          </w:p>
          <w:p w14:paraId="4714002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3.工作模式：</w:t>
            </w:r>
          </w:p>
          <w:p w14:paraId="74BD779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3.1手动治疗模式：可手动设置治疗时间和治疗频率。频率10Hz～60Hz可调，时间为1min～60min可调。</w:t>
            </w:r>
          </w:p>
          <w:p w14:paraId="720003B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3.2自定义模式：可自定义工作时间和治疗频率。</w:t>
            </w:r>
          </w:p>
          <w:p w14:paraId="7B64030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4.振动幅度：5mm，允差±20%。</w:t>
            </w:r>
          </w:p>
          <w:p w14:paraId="18F89A3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5.治疗头：≥8个。</w:t>
            </w:r>
          </w:p>
          <w:p w14:paraId="53405A64">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6.功能：操作过程中，叩击头手柄相对传动软轴应能360°自由转动。</w:t>
            </w:r>
          </w:p>
          <w:p w14:paraId="7E2CF6A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7.使用期限≥8年</w:t>
            </w:r>
          </w:p>
        </w:tc>
      </w:tr>
      <w:tr w14:paraId="668D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5B9D5E0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w:t>
            </w:r>
          </w:p>
        </w:tc>
        <w:tc>
          <w:tcPr>
            <w:tcW w:w="1410" w:type="dxa"/>
            <w:vAlign w:val="center"/>
          </w:tcPr>
          <w:p w14:paraId="4744D094">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红光治疗仪</w:t>
            </w:r>
          </w:p>
        </w:tc>
        <w:tc>
          <w:tcPr>
            <w:tcW w:w="7056" w:type="dxa"/>
            <w:vAlign w:val="center"/>
          </w:tcPr>
          <w:p w14:paraId="5F75DC6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w:t>
            </w:r>
          </w:p>
          <w:p w14:paraId="2E361F1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适用于消炎、镇痛，对体表创面有止渗液、促进肉芽组织生长、加速愈合的作用。</w:t>
            </w:r>
          </w:p>
          <w:p w14:paraId="5616B0E3">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3E6C2273">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1.光源类型：矩阵集成高功率半导体固态光源。</w:t>
            </w:r>
          </w:p>
          <w:p w14:paraId="2828EB3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2.治疗时间：1～60min可调，步进1min。</w:t>
            </w:r>
          </w:p>
          <w:p w14:paraId="0377B863">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3.时间记忆：具备智能化时间记忆功能，具备自动设定设备治疗时间一键启动功能。</w:t>
            </w:r>
          </w:p>
          <w:p w14:paraId="4235B28E">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4.能量调节方式：三级能量调节。</w:t>
            </w:r>
          </w:p>
          <w:p w14:paraId="63C7149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a.第1档，有效红光辐照度为21mw/cm²，允差±25%。</w:t>
            </w:r>
          </w:p>
          <w:p w14:paraId="12CA40A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b.第2档，有效红光辐照度为34mW/cm²，允差±25%。</w:t>
            </w:r>
          </w:p>
          <w:p w14:paraId="79BD42A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c.第3档，有效红光辐照度为60mW/cm²，允差±25%。</w:t>
            </w:r>
          </w:p>
          <w:p w14:paraId="66E5905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5.波长范围：620nm-700nm</w:t>
            </w:r>
          </w:p>
          <w:p w14:paraId="4C3C21D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6.光功率密度：在距离光杯口≥15cm处测量时＞60mW/cm²。</w:t>
            </w:r>
          </w:p>
          <w:p w14:paraId="32FDED2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7.有效辐照面积：≥350cm²。</w:t>
            </w:r>
          </w:p>
          <w:p w14:paraId="31D8E18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8.操作面板：≥7英寸电容液晶触摸屏、智能触控操作。</w:t>
            </w:r>
          </w:p>
          <w:p w14:paraId="250F123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9.辐照度均匀性：采用光学透镜式聚光设计，有效红光辐照度的均匀性＞0.7。</w:t>
            </w:r>
          </w:p>
          <w:p w14:paraId="0D6756FE">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10.皮肤温度动态管理：内置无线测温模块，实时监测及显示治疗面皮肤温度。可自主设置报警阈值，高于阈值自动停止输出并发出提示报警声音。</w:t>
            </w:r>
          </w:p>
          <w:p w14:paraId="3AE7FD6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11.支臂结构：可根据灯头重力无级调节支撑力度，保证治疗时光源稳定性，定位精准、操作简便。</w:t>
            </w:r>
          </w:p>
          <w:p w14:paraId="30B3469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12.支臂活动范围：支臂长度：≥700mm。垂直调节角度30°～160°。水平调节角度0～180°。</w:t>
            </w:r>
          </w:p>
          <w:p w14:paraId="46C7924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13.输出通道：单通道输出，采用三维立体灯头旋转设计，辐射面积更广。</w:t>
            </w:r>
          </w:p>
          <w:p w14:paraId="20264E5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14.安全设计：防倾倒设计，倾倒自动断电。</w:t>
            </w:r>
          </w:p>
          <w:p w14:paraId="6E66490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15.漏电保护：具有自动漏电保护功能。</w:t>
            </w:r>
          </w:p>
          <w:p w14:paraId="41CD515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16.使用期限≥8年</w:t>
            </w:r>
          </w:p>
        </w:tc>
      </w:tr>
      <w:tr w14:paraId="689B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0DCCBD5">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w:t>
            </w:r>
          </w:p>
        </w:tc>
        <w:tc>
          <w:tcPr>
            <w:tcW w:w="1410" w:type="dxa"/>
            <w:vAlign w:val="center"/>
          </w:tcPr>
          <w:p w14:paraId="059E47FE">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空气波压力治疗仪</w:t>
            </w:r>
          </w:p>
        </w:tc>
        <w:tc>
          <w:tcPr>
            <w:tcW w:w="7056" w:type="dxa"/>
            <w:vAlign w:val="center"/>
          </w:tcPr>
          <w:p w14:paraId="1B6AE46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w:t>
            </w:r>
          </w:p>
          <w:p w14:paraId="4A87E0B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适用于预防静脉血栓形成，减轻肢体水肿，脑血管意外、脑外伤、脑手术后引起的肢体功能障碍和外周非栓塞性脉管炎的辅助治疗。通过多腔气囊有顺序的反复充放气，形成了对肢体和组织的压力，达到促进体内血液的流动、淋巴循环及改善体内微循环的作用。</w:t>
            </w:r>
          </w:p>
          <w:p w14:paraId="53F4643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68B508E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1.操作方式：数码显示，按键控制。</w:t>
            </w:r>
          </w:p>
          <w:p w14:paraId="6BA295E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2.气囊腔数：单侧≥4腔气囊，双侧≥8腔气囊，配备双下肢气囊。</w:t>
            </w:r>
          </w:p>
          <w:p w14:paraId="26797B0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3.压力范围：5kPa～25kPa（0mmHg～203mmHg）。</w:t>
            </w:r>
          </w:p>
          <w:p w14:paraId="62ED77D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4.压力调节：采用数据采集技术，快速识别压力值，利用电位器开关进行快速压力调节。</w:t>
            </w:r>
          </w:p>
          <w:p w14:paraId="244A2E9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5.零压跳过：在有创面或压力治疗禁忌的部位，可选择关闭该位置的气囊压力。</w:t>
            </w:r>
          </w:p>
          <w:p w14:paraId="0022214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6.治疗时间：1min～99min自由设置。</w:t>
            </w:r>
          </w:p>
          <w:p w14:paraId="1CD3595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7.提示与警示：具备过压保护提示功能。</w:t>
            </w:r>
          </w:p>
          <w:p w14:paraId="10CA064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8.自动泄压功能：达到阈值时、突然断电或中断治疗时，气囊可自动泄压。</w:t>
            </w:r>
          </w:p>
          <w:p w14:paraId="4B49151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9.安全保护功能：配备紧急功能开关，遇到紧急情况可以进行紧急停止。</w:t>
            </w:r>
          </w:p>
          <w:p w14:paraId="3DF748C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10.静音治疗：设备使用噪声不超过60dB(A）。</w:t>
            </w:r>
          </w:p>
          <w:p w14:paraId="73398C1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11.压强监测：内置压强检测模块，实时监测工作状态下压强。</w:t>
            </w:r>
          </w:p>
          <w:p w14:paraId="0C2585E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12.设备可移动或配备移动装置</w:t>
            </w:r>
          </w:p>
          <w:p w14:paraId="48EDA9A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13.使用期限≥8年</w:t>
            </w:r>
          </w:p>
        </w:tc>
      </w:tr>
      <w:tr w14:paraId="1CDD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AC8299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w:t>
            </w:r>
          </w:p>
        </w:tc>
        <w:tc>
          <w:tcPr>
            <w:tcW w:w="1410" w:type="dxa"/>
            <w:vAlign w:val="center"/>
          </w:tcPr>
          <w:p w14:paraId="1898057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轮椅</w:t>
            </w:r>
          </w:p>
        </w:tc>
        <w:tc>
          <w:tcPr>
            <w:tcW w:w="7056" w:type="dxa"/>
            <w:vAlign w:val="center"/>
          </w:tcPr>
          <w:p w14:paraId="5555B0D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1.车架材质：碳素钢管钢质材料，钢管直径≥22mm，厚度≥1.0mm;</w:t>
            </w:r>
          </w:p>
          <w:p w14:paraId="6F0F763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2.表面处理：表面喷涂处理，美观耐用；</w:t>
            </w:r>
          </w:p>
          <w:p w14:paraId="0731133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3.轮椅最大承重：≥90KG</w:t>
            </w:r>
          </w:p>
          <w:p w14:paraId="6EE78C8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4.靠背高度：≥42cm</w:t>
            </w:r>
          </w:p>
          <w:p w14:paraId="5118145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5.座位深度：≥41cm</w:t>
            </w:r>
          </w:p>
          <w:p w14:paraId="0CA8F1E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6.座位宽度：≥46cm</w:t>
            </w:r>
          </w:p>
          <w:p w14:paraId="02F255E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7.座位高度：≥53cm</w:t>
            </w:r>
          </w:p>
          <w:p w14:paraId="1AE3C41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8.扶手高度：≥71cm</w:t>
            </w:r>
          </w:p>
          <w:p w14:paraId="1C1E36DE">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9.前轮：≥7寸轮胎</w:t>
            </w:r>
          </w:p>
          <w:p w14:paraId="6FBE8CEE">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10.后轮：≥24寸轮胎</w:t>
            </w:r>
          </w:p>
          <w:p w14:paraId="57664476">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11.刹车：采用上下四刹设计，上方两个护理刹车，下方两个驻车刹车；</w:t>
            </w:r>
          </w:p>
          <w:p w14:paraId="4A4AFCA0">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12.前腿可拆卸</w:t>
            </w:r>
          </w:p>
        </w:tc>
      </w:tr>
      <w:tr w14:paraId="7B480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43BEA5E9">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w:t>
            </w:r>
          </w:p>
        </w:tc>
        <w:tc>
          <w:tcPr>
            <w:tcW w:w="1410" w:type="dxa"/>
            <w:vAlign w:val="center"/>
          </w:tcPr>
          <w:p w14:paraId="5B5ADD3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手术辅助照明灯</w:t>
            </w:r>
            <w:bookmarkStart w:id="0" w:name="_GoBack"/>
            <w:bookmarkEnd w:id="0"/>
          </w:p>
        </w:tc>
        <w:tc>
          <w:tcPr>
            <w:tcW w:w="7056" w:type="dxa"/>
            <w:vAlign w:val="center"/>
          </w:tcPr>
          <w:p w14:paraId="2820264D">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一、配置：由灯头、灯头调节握把、升降调节旋钮、立柱、脚踏开关、底座组成，为移动式。</w:t>
            </w:r>
          </w:p>
          <w:p w14:paraId="63E71A67">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0C98F74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1.手术辅助照明灯的外壳应平整，不得有明显的凹凸、裂纹和锋棱，过渡处的轮廓应清晰，气孔应均匀分布并且畅通。</w:t>
            </w:r>
          </w:p>
          <w:p w14:paraId="52B4044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2.手术辅助照明灯升降调节应灵活，各零部件应配合良好，经紧固后，不得有松动现象。</w:t>
            </w:r>
          </w:p>
          <w:p w14:paraId="0AD571E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3.手术辅助照明灯的升降臂及灯头动作范围：</w:t>
            </w:r>
          </w:p>
          <w:p w14:paraId="0A1861EE">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升降臂绕固定座旋转：320°±5°；</w:t>
            </w:r>
          </w:p>
          <w:p w14:paraId="6198597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灯头绕灯头臂旋转（水平）：75°±5°</w:t>
            </w:r>
          </w:p>
          <w:p w14:paraId="49EF196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灯头绕灯头臂旋转（垂直）：75°±5°</w:t>
            </w:r>
          </w:p>
          <w:p w14:paraId="392E9D9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4.手术辅助照明灯的升降距离：</w:t>
            </w:r>
          </w:p>
          <w:p w14:paraId="75DF242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升降距离应不小于 550mm（灯面离地最小距离为 1000mm）5、手术辅助照明灯的中心照度：</w:t>
            </w:r>
          </w:p>
          <w:p w14:paraId="37CD948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中心照度应不低于30000Lx。</w:t>
            </w:r>
          </w:p>
          <w:p w14:paraId="366D1C9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6.手术辅助照明灯的色温：</w:t>
            </w:r>
          </w:p>
          <w:p w14:paraId="5C409F14">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色温应在 Tc：5000K±500K 范围内。</w:t>
            </w:r>
          </w:p>
        </w:tc>
      </w:tr>
      <w:tr w14:paraId="4DFE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601F53B4">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w:t>
            </w:r>
          </w:p>
        </w:tc>
        <w:tc>
          <w:tcPr>
            <w:tcW w:w="1410" w:type="dxa"/>
            <w:vAlign w:val="center"/>
          </w:tcPr>
          <w:p w14:paraId="73CD147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输液车</w:t>
            </w:r>
          </w:p>
        </w:tc>
        <w:tc>
          <w:tcPr>
            <w:tcW w:w="7056" w:type="dxa"/>
            <w:vAlign w:val="center"/>
          </w:tcPr>
          <w:p w14:paraId="699FC2EA">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1.配备≥两排输液挂钩</w:t>
            </w:r>
          </w:p>
          <w:p w14:paraId="160B024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2.双抽屉设计，方便存放各类物品</w:t>
            </w:r>
          </w:p>
          <w:p w14:paraId="4221387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3.采用优质201#不锈钢管及不锈钢板经焊接组装而成，耐腐蚀。</w:t>
            </w:r>
          </w:p>
          <w:p w14:paraId="680E3B1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4.焊接牢固，表面光滑，易擦洗、不生锈；</w:t>
            </w:r>
          </w:p>
          <w:p w14:paraId="68978F1B">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5.焊缝应均匀牢固，无烧损、冷裂、漏焊等缺陷，</w:t>
            </w:r>
          </w:p>
          <w:p w14:paraId="2CC17208">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6.各焊接部位打磨平整，抛光均匀；</w:t>
            </w:r>
          </w:p>
          <w:p w14:paraId="34834C5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7.外观美观平整、端正，表面无锋棱、毛刺等明显缺陷； </w:t>
            </w:r>
          </w:p>
          <w:p w14:paraId="51286D4C">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8.采用万向轮4只，高耐磨，无噪声，稳定性好，推动轻松灵活，无蛇行行走及异常噪声。</w:t>
            </w:r>
          </w:p>
          <w:p w14:paraId="6EA23854">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配置清单：</w:t>
            </w:r>
          </w:p>
          <w:p w14:paraId="1C81D54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污物桶≥1个</w:t>
            </w:r>
          </w:p>
          <w:p w14:paraId="09B2C6B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挂钩≥16个</w:t>
            </w:r>
          </w:p>
        </w:tc>
      </w:tr>
      <w:tr w14:paraId="4B8C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042D2D8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w:t>
            </w:r>
          </w:p>
        </w:tc>
        <w:tc>
          <w:tcPr>
            <w:tcW w:w="1410" w:type="dxa"/>
            <w:vAlign w:val="center"/>
          </w:tcPr>
          <w:p w14:paraId="08DDA05F">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紫外线空气消毒器</w:t>
            </w:r>
          </w:p>
        </w:tc>
        <w:tc>
          <w:tcPr>
            <w:tcW w:w="7056" w:type="dxa"/>
            <w:vAlign w:val="center"/>
          </w:tcPr>
          <w:p w14:paraId="4FCA4DE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一、功能要求：适用于普通手术室、产房、血液病区、烧伤病区、保护性隔离病区、重症监护病区的空气消毒；消毒供应中心检查包装灭菌区和无菌物品存放区、重症透析中心的空气消毒；检查室、治疗室、感染性疾病诊室等场所的空气消毒。</w:t>
            </w:r>
          </w:p>
          <w:p w14:paraId="34CBBC34">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二、技术要求：</w:t>
            </w:r>
          </w:p>
          <w:p w14:paraId="0054C0B3">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1.采用紫外线消毒，杀菌广谱、彻底；内含过滤器，可过滤毛发、粉尘等大尘埃颗粒，去除有机气体和医院药水等各种异味；</w:t>
            </w:r>
          </w:p>
          <w:p w14:paraId="5FD7360A">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2.紫外线空气消毒器壳体采用优质钣金外壳加喷塑，结构强度高；移动方便、防尘效果好、使用寿命长、安全系数高；</w:t>
            </w:r>
          </w:p>
          <w:p w14:paraId="43B1F198">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3.4个万向脚轮，可任意移动；</w:t>
            </w:r>
          </w:p>
          <w:p w14:paraId="2DFA5011">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4.人机共存，可在有人状态下进行连续动态消毒，对人及物品没有任何伤害；</w:t>
            </w:r>
          </w:p>
          <w:p w14:paraId="451B51CA">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5.额定循环风量≥1000m³/h，可适用100m³体积及以下的场所；</w:t>
            </w:r>
          </w:p>
          <w:p w14:paraId="42971C92">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7.紫外线杀菌灯寿命≥8000h；</w:t>
            </w:r>
          </w:p>
          <w:p w14:paraId="3A4210A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8.配备负离子发生器，所产生负离子密度≥6×106个/cm3。</w:t>
            </w:r>
          </w:p>
          <w:p w14:paraId="0B70E069">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9.光触媒抗菌除异味，采用电镜平均粒径≤10nm的锐钛型二氧化钛做光触媒，可有效的降解甲醛、苯、甲苯、二甲苯、TVOC等污染物，并具有高效广谱的消毒性能，能够杀灭和抑制细菌、真菌和病毒的存活。</w:t>
            </w:r>
          </w:p>
          <w:p w14:paraId="3451E626">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10.液晶显示屏，远程红外线遥控，可实时显示北京时间，定时时间段、定时时间，室内温湿度，故障报警，可查询显示累计时间等；</w:t>
            </w:r>
          </w:p>
          <w:p w14:paraId="2EB6DDD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11.高、中、低三档可调风速供用户选择；手控、遥控多种控制方式供用户选择；手动、定时、临时多种工作模式方便用户操作；控制器上设有一键锁定功能，防止误操作；</w:t>
            </w:r>
          </w:p>
          <w:p w14:paraId="21B32CDF">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12.程控数量（定时消毒）≥6组，具备工作时间自动累计功能；</w:t>
            </w:r>
          </w:p>
          <w:p w14:paraId="363EFF26">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13.具有报警功能，紫外线消毒模块故障报警、过滤器清洗维护报警、风机故障报警；</w:t>
            </w:r>
          </w:p>
          <w:p w14:paraId="0C7C01F5">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14.消毒效果要求：符合国家卫生行业标准《空气消毒机通用卫生要求》（WS/T648-2019）相关标准。</w:t>
            </w:r>
          </w:p>
          <w:p w14:paraId="5F77785A">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紫外线空气消毒器配置清单：</w:t>
            </w:r>
          </w:p>
          <w:p w14:paraId="5FBADCE4">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 主机 1台（含电源线）</w:t>
            </w:r>
          </w:p>
          <w:p w14:paraId="2BAB6BFB">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 遥控器1只</w:t>
            </w:r>
          </w:p>
          <w:p w14:paraId="4A0D85E6">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 说明书1本</w:t>
            </w:r>
          </w:p>
          <w:p w14:paraId="17F4513C">
            <w:pPr>
              <w:keepNext w:val="0"/>
              <w:keepLines w:val="0"/>
              <w:pageBreakBefore w:val="0"/>
              <w:widowControl/>
              <w:kinsoku/>
              <w:wordWrap w:val="0"/>
              <w:overflowPunct/>
              <w:topLinePunct/>
              <w:autoSpaceDE/>
              <w:autoSpaceDN/>
              <w:bidi w:val="0"/>
              <w:adjustRightInd w:val="0"/>
              <w:snapToGrid w:val="0"/>
              <w:spacing w:line="440" w:lineRule="exact"/>
              <w:ind w:right="0" w:firstLine="536" w:firstLineChars="20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 合格证1张</w:t>
            </w:r>
          </w:p>
        </w:tc>
      </w:tr>
      <w:tr w14:paraId="4A210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C0EF18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12</w:t>
            </w:r>
          </w:p>
        </w:tc>
        <w:tc>
          <w:tcPr>
            <w:tcW w:w="1410" w:type="dxa"/>
            <w:vAlign w:val="center"/>
          </w:tcPr>
          <w:p w14:paraId="70FF42A6">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default" w:ascii="仿宋" w:hAnsi="仿宋" w:eastAsia="仿宋" w:cs="仿宋"/>
                <w:b w:val="0"/>
                <w:bCs w:val="0"/>
                <w:color w:val="auto"/>
                <w:spacing w:val="-6"/>
                <w:sz w:val="28"/>
                <w:szCs w:val="28"/>
                <w:vertAlign w:val="baseline"/>
                <w:lang w:val="en-US" w:eastAsia="zh-CN"/>
              </w:rPr>
              <w:t>治疗车</w:t>
            </w:r>
          </w:p>
        </w:tc>
        <w:tc>
          <w:tcPr>
            <w:tcW w:w="7056" w:type="dxa"/>
            <w:vAlign w:val="center"/>
          </w:tcPr>
          <w:p w14:paraId="4C14E613">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1.板面及抽屉材料采用SUS201#不锈钢板材，厚度≥0.8mm</w:t>
            </w:r>
          </w:p>
          <w:p w14:paraId="558E390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2.车体主架采用≥Φ25mm，≥δ0.8mmSUS201#不锈钢管加工、折压、焊接、打磨成型。</w:t>
            </w:r>
          </w:p>
          <w:p w14:paraId="6944B41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3.治疗车分为上下两层，均带有不锈钢护栏，防止物体滑落</w:t>
            </w:r>
          </w:p>
          <w:p w14:paraId="6D73750E">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4.下方配有杂物桶≥1个，不锈钢管制作的横撑增加车子稳定性。</w:t>
            </w:r>
          </w:p>
          <w:p w14:paraId="46B1B709">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5.外型美观，平整、端正、四角平行，表面无锋棱、毛刺等明显缺陷，各焊接部件打磨平整光滑，抛光均匀。</w:t>
            </w:r>
          </w:p>
          <w:p w14:paraId="3E9B5D9F">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6.带有≥两个抽屉，抽屉滑道采用三节静音式滑轮，抽拉灵活，无噪音。</w:t>
            </w:r>
          </w:p>
          <w:p w14:paraId="62282C56">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7.采用万向轮4只，高耐磨，无噪音，稳定性好，推动轻松灵活，无蛇行行走及异常噪音。</w:t>
            </w:r>
          </w:p>
        </w:tc>
      </w:tr>
      <w:tr w14:paraId="19BA9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2" w:type="dxa"/>
            <w:vAlign w:val="center"/>
          </w:tcPr>
          <w:p w14:paraId="23824E98">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13</w:t>
            </w:r>
          </w:p>
        </w:tc>
        <w:tc>
          <w:tcPr>
            <w:tcW w:w="1410" w:type="dxa"/>
            <w:vAlign w:val="center"/>
          </w:tcPr>
          <w:p w14:paraId="664047DD">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default"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检查床</w:t>
            </w:r>
          </w:p>
        </w:tc>
        <w:tc>
          <w:tcPr>
            <w:tcW w:w="7056" w:type="dxa"/>
            <w:vAlign w:val="center"/>
          </w:tcPr>
          <w:p w14:paraId="673BDF91">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1.规格：1900*650*630mm±10mm</w:t>
            </w:r>
          </w:p>
          <w:p w14:paraId="76E66352">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2.床面采用优质人造革面，内衬高密度海绵</w:t>
            </w:r>
          </w:p>
          <w:p w14:paraId="2FD29BB5">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3.四只支撑脚采用≥50*50*1.2mm矩管，脚脚间连接管采用≥30*30*1.2mm矩管，采用防滑堵头</w:t>
            </w:r>
          </w:p>
          <w:p w14:paraId="28A3DD97">
            <w:pPr>
              <w:keepNext w:val="0"/>
              <w:keepLines w:val="0"/>
              <w:pageBreakBefore w:val="0"/>
              <w:widowControl/>
              <w:kinsoku/>
              <w:wordWrap w:val="0"/>
              <w:overflowPunct/>
              <w:topLinePunct/>
              <w:autoSpaceDE/>
              <w:autoSpaceDN/>
              <w:bidi w:val="0"/>
              <w:adjustRightInd w:val="0"/>
              <w:snapToGrid w:val="0"/>
              <w:spacing w:line="440" w:lineRule="exact"/>
              <w:ind w:right="0"/>
              <w:jc w:val="both"/>
              <w:textAlignment w:val="baseline"/>
              <w:rPr>
                <w:rFonts w:hint="eastAsia" w:ascii="仿宋" w:hAnsi="仿宋" w:eastAsia="仿宋" w:cs="仿宋"/>
                <w:b w:val="0"/>
                <w:bCs w:val="0"/>
                <w:color w:val="auto"/>
                <w:spacing w:val="-6"/>
                <w:sz w:val="28"/>
                <w:szCs w:val="28"/>
                <w:vertAlign w:val="baseline"/>
                <w:lang w:val="en-US" w:eastAsia="zh-CN"/>
              </w:rPr>
            </w:pPr>
            <w:r>
              <w:rPr>
                <w:rFonts w:hint="eastAsia" w:ascii="仿宋" w:hAnsi="仿宋" w:eastAsia="仿宋" w:cs="仿宋"/>
                <w:b w:val="0"/>
                <w:bCs w:val="0"/>
                <w:color w:val="auto"/>
                <w:spacing w:val="-6"/>
                <w:sz w:val="28"/>
                <w:szCs w:val="28"/>
                <w:vertAlign w:val="baseline"/>
                <w:lang w:val="en-US" w:eastAsia="zh-CN"/>
              </w:rPr>
              <w:t>4.床身美观、牢固，承重≥120kg。</w:t>
            </w:r>
          </w:p>
        </w:tc>
      </w:tr>
    </w:tbl>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报名必须携带资料：详见第二章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b/>
          <w:bCs/>
          <w:color w:val="auto"/>
          <w:sz w:val="28"/>
          <w:szCs w:val="28"/>
          <w:lang w:val="en-US" w:eastAsia="zh-CN"/>
        </w:rPr>
        <w:t>要求正本、副本各一本。</w:t>
      </w:r>
    </w:p>
    <w:p w14:paraId="584517E9">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十、开标</w:t>
      </w:r>
      <w:r>
        <w:rPr>
          <w:rFonts w:hint="eastAsia" w:ascii="仿宋_GB2312" w:hAnsi="仿宋_GB2312" w:eastAsia="仿宋_GB2312" w:cs="仿宋_GB2312"/>
          <w:color w:val="auto"/>
          <w:sz w:val="28"/>
          <w:szCs w:val="28"/>
        </w:rPr>
        <w:t>时间及地点：</w:t>
      </w:r>
    </w:p>
    <w:p w14:paraId="4BB82F7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时间：2025年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20</w:t>
      </w:r>
      <w:r>
        <w:rPr>
          <w:rFonts w:hint="eastAsia" w:ascii="仿宋_GB2312" w:hAnsi="仿宋_GB2312" w:eastAsia="仿宋_GB2312" w:cs="仿宋_GB2312"/>
          <w:color w:val="auto"/>
          <w:sz w:val="28"/>
          <w:szCs w:val="28"/>
        </w:rPr>
        <w:t>日  15:00</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联系人：张先生  联系电话：0827-8228745  15536984060</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snapToGrid w:val="0"/>
          <w:color w:val="auto"/>
          <w:kern w:val="0"/>
          <w:sz w:val="28"/>
          <w:szCs w:val="28"/>
          <w:lang w:val="en-US" w:eastAsia="zh-CN" w:bidi="ar-SA"/>
        </w:rPr>
        <w:t>十一、</w:t>
      </w:r>
      <w:r>
        <w:rPr>
          <w:rFonts w:hint="eastAsia" w:ascii="仿宋_GB2312" w:hAnsi="仿宋_GB2312" w:eastAsia="仿宋_GB2312" w:cs="仿宋_GB2312"/>
          <w:color w:val="auto"/>
          <w:spacing w:val="2"/>
          <w:sz w:val="28"/>
          <w:szCs w:val="28"/>
        </w:rPr>
        <w:t>报价方式：</w:t>
      </w:r>
      <w:r>
        <w:rPr>
          <w:rFonts w:hint="eastAsia" w:ascii="仿宋_GB2312" w:hAnsi="仿宋_GB2312" w:eastAsia="仿宋_GB2312" w:cs="仿宋_GB2312"/>
          <w:color w:val="auto"/>
          <w:spacing w:val="8"/>
          <w:sz w:val="28"/>
          <w:szCs w:val="28"/>
        </w:rPr>
        <w:t>报名供应商现场报价。按最终报价由低到高排序，</w:t>
      </w:r>
      <w:r>
        <w:rPr>
          <w:rFonts w:hint="eastAsia" w:ascii="仿宋_GB2312" w:hAnsi="仿宋_GB2312" w:eastAsia="仿宋_GB2312" w:cs="仿宋_GB2312"/>
          <w:color w:val="auto"/>
          <w:spacing w:val="6"/>
          <w:sz w:val="28"/>
          <w:szCs w:val="28"/>
        </w:rPr>
        <w:t>报价最低者直接确定为成交单位。最终报价相同的组织</w:t>
      </w:r>
      <w:r>
        <w:rPr>
          <w:rFonts w:hint="eastAsia" w:ascii="仿宋_GB2312" w:hAnsi="仿宋_GB2312" w:eastAsia="仿宋_GB2312" w:cs="仿宋_GB2312"/>
          <w:color w:val="auto"/>
          <w:spacing w:val="5"/>
          <w:sz w:val="28"/>
          <w:szCs w:val="28"/>
        </w:rPr>
        <w:t>报价单位抽签确定</w:t>
      </w:r>
      <w:r>
        <w:rPr>
          <w:rFonts w:hint="eastAsia" w:ascii="仿宋_GB2312" w:hAnsi="仿宋_GB2312" w:eastAsia="仿宋_GB2312" w:cs="仿宋_GB2312"/>
          <w:color w:val="auto"/>
          <w:spacing w:val="-4"/>
          <w:sz w:val="28"/>
          <w:szCs w:val="28"/>
        </w:rPr>
        <w:t>成交单位。</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w:t>
      </w:r>
      <w:r>
        <w:rPr>
          <w:rFonts w:hint="eastAsia" w:ascii="仿宋_GB2312" w:hAnsi="仿宋_GB2312" w:eastAsia="仿宋_GB2312" w:cs="仿宋_GB2312"/>
          <w:color w:val="auto"/>
          <w:spacing w:val="3"/>
          <w:sz w:val="28"/>
          <w:szCs w:val="28"/>
          <w:lang w:val="en-US" w:eastAsia="zh-CN"/>
        </w:rPr>
        <w:t>十二、</w:t>
      </w:r>
      <w:r>
        <w:rPr>
          <w:rFonts w:hint="eastAsia" w:ascii="仿宋_GB2312" w:hAnsi="仿宋_GB2312" w:eastAsia="仿宋_GB2312" w:cs="仿宋_GB2312"/>
          <w:color w:val="auto"/>
          <w:spacing w:val="3"/>
          <w:sz w:val="28"/>
          <w:szCs w:val="28"/>
        </w:rPr>
        <w:t>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w:t>
      </w:r>
      <w:r>
        <w:rPr>
          <w:rFonts w:hint="eastAsia" w:ascii="仿宋_GB2312" w:hAnsi="仿宋_GB2312" w:eastAsia="仿宋_GB2312" w:cs="仿宋_GB2312"/>
          <w:color w:val="auto"/>
          <w:spacing w:val="6"/>
          <w:sz w:val="28"/>
          <w:szCs w:val="28"/>
          <w:lang w:val="en-US" w:eastAsia="zh-CN"/>
        </w:rPr>
        <w:t>5</w:t>
      </w:r>
      <w:r>
        <w:rPr>
          <w:rFonts w:hint="eastAsia" w:ascii="仿宋_GB2312" w:hAnsi="仿宋_GB2312" w:eastAsia="仿宋_GB2312" w:cs="仿宋_GB2312"/>
          <w:color w:val="auto"/>
          <w:spacing w:val="6"/>
          <w:sz w:val="28"/>
          <w:szCs w:val="28"/>
        </w:rPr>
        <w:t>%。在甲方付款前，乙方应先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w:t>
      </w:r>
      <w:r>
        <w:rPr>
          <w:rFonts w:hint="eastAsia" w:ascii="仿宋_GB2312" w:hAnsi="仿宋_GB2312" w:eastAsia="仿宋_GB2312" w:cs="仿宋_GB2312"/>
          <w:color w:val="auto"/>
          <w:spacing w:val="3"/>
          <w:sz w:val="28"/>
          <w:szCs w:val="28"/>
        </w:rPr>
        <w:t>合同版本以医院统一版本制作合同。</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lang w:val="en-US" w:eastAsia="zh-CN"/>
        </w:rPr>
        <w:t>十三、</w:t>
      </w:r>
      <w:r>
        <w:rPr>
          <w:rFonts w:hint="eastAsia" w:ascii="仿宋_GB2312" w:hAnsi="仿宋_GB2312" w:eastAsia="仿宋_GB2312" w:cs="仿宋_GB2312"/>
          <w:color w:val="auto"/>
          <w:spacing w:val="9"/>
          <w:sz w:val="28"/>
          <w:szCs w:val="28"/>
        </w:rPr>
        <w:t>本次竞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价项目在</w:t>
      </w:r>
      <w:r>
        <w:rPr>
          <w:rFonts w:hint="eastAsia" w:ascii="仿宋_GB2312" w:hAnsi="仿宋_GB2312" w:eastAsia="仿宋_GB2312" w:cs="仿宋_GB2312"/>
          <w:color w:val="auto"/>
          <w:spacing w:val="9"/>
          <w:sz w:val="28"/>
          <w:szCs w:val="28"/>
          <w:lang w:val="en-US" w:eastAsia="zh-CN"/>
        </w:rPr>
        <w:t>南江县人民</w:t>
      </w:r>
      <w:r>
        <w:rPr>
          <w:rFonts w:hint="eastAsia" w:ascii="仿宋_GB2312" w:hAnsi="仿宋_GB2312" w:eastAsia="仿宋_GB2312" w:cs="仿宋_GB2312"/>
          <w:color w:val="auto"/>
          <w:spacing w:val="9"/>
          <w:sz w:val="28"/>
          <w:szCs w:val="28"/>
        </w:rPr>
        <w:t>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lang w:val="en-US" w:eastAsia="zh-CN"/>
        </w:rPr>
        <w:t>十四、</w:t>
      </w:r>
      <w:r>
        <w:rPr>
          <w:rFonts w:hint="eastAsia" w:ascii="仿宋_GB2312" w:hAnsi="仿宋_GB2312" w:eastAsia="仿宋_GB2312" w:cs="仿宋_GB2312"/>
          <w:color w:val="auto"/>
          <w:spacing w:val="9"/>
          <w:sz w:val="28"/>
          <w:szCs w:val="28"/>
        </w:rPr>
        <w:t>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38561F0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1814" w:right="1247" w:bottom="1701" w:left="1361"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4DE698A5">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5"/>
          <w:sz w:val="28"/>
          <w:szCs w:val="28"/>
          <w:lang w:val="en-US" w:eastAsia="zh-CN"/>
        </w:rPr>
        <w:t>3.第一章第八条</w:t>
      </w:r>
      <w:r>
        <w:rPr>
          <w:rFonts w:hint="eastAsia" w:ascii="仿宋_GB2312" w:hAnsi="仿宋_GB2312" w:eastAsia="仿宋_GB2312" w:cs="仿宋_GB2312"/>
          <w:color w:val="auto"/>
          <w:sz w:val="28"/>
          <w:szCs w:val="28"/>
        </w:rPr>
        <w:t>技术要求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参数</w:t>
      </w:r>
      <w:r>
        <w:rPr>
          <w:rFonts w:hint="eastAsia" w:ascii="仿宋_GB2312" w:hAnsi="仿宋_GB2312" w:eastAsia="仿宋_GB2312" w:cs="仿宋_GB2312"/>
          <w:color w:val="auto"/>
          <w:sz w:val="28"/>
          <w:szCs w:val="28"/>
          <w:lang w:val="en-US" w:eastAsia="zh-CN"/>
        </w:rPr>
        <w:t>要求</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需要提供的证明资料。</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4.售后服务承诺函（格式自拟）。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5.</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6.</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0D239C6C">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30BA74AE">
      <w:pPr>
        <w:keepNext w:val="0"/>
        <w:keepLines w:val="0"/>
        <w:pageBreakBefore w:val="0"/>
        <w:widowControl/>
        <w:kinsoku/>
        <w:wordWrap w:val="0"/>
        <w:overflowPunct/>
        <w:topLinePunct/>
        <w:autoSpaceDE/>
        <w:autoSpaceDN/>
        <w:bidi w:val="0"/>
        <w:adjustRightInd w:val="0"/>
        <w:snapToGrid w:val="0"/>
        <w:spacing w:before="71" w:line="308" w:lineRule="auto"/>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41514498">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color w:val="auto"/>
          <w:spacing w:val="24"/>
          <w:sz w:val="28"/>
          <w:szCs w:val="28"/>
        </w:rPr>
      </w:pP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偏离</w:t>
            </w:r>
            <w:r>
              <w:rPr>
                <w:rFonts w:hint="eastAsia" w:ascii="仿宋_GB2312" w:hAnsi="仿宋_GB2312" w:eastAsia="仿宋_GB2312" w:cs="仿宋_GB2312"/>
                <w:color w:val="auto"/>
                <w:spacing w:val="4"/>
                <w:sz w:val="28"/>
                <w:szCs w:val="28"/>
              </w:rPr>
              <w:t>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6D009C6E">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8"/>
          <w:sz w:val="28"/>
          <w:szCs w:val="28"/>
        </w:rPr>
        <w:t>日期：XXX年XXX月XXX日</w:t>
      </w:r>
    </w:p>
    <w:p w14:paraId="047F1B12">
      <w:pPr>
        <w:keepNext w:val="0"/>
        <w:keepLines w:val="0"/>
        <w:pageBreakBefore w:val="0"/>
        <w:widowControl/>
        <w:kinsoku/>
        <w:wordWrap w:val="0"/>
        <w:overflowPunct/>
        <w:topLinePunct/>
        <w:autoSpaceDE/>
        <w:autoSpaceDN/>
        <w:bidi w:val="0"/>
        <w:adjustRightInd w:val="0"/>
        <w:snapToGrid w:val="0"/>
        <w:spacing w:before="71" w:line="219" w:lineRule="auto"/>
        <w:ind w:left="523"/>
        <w:rPr>
          <w:rFonts w:hint="eastAsia" w:ascii="仿宋_GB2312" w:hAnsi="仿宋_GB2312" w:eastAsia="仿宋_GB2312" w:cs="仿宋_GB2312"/>
          <w:color w:val="auto"/>
          <w:spacing w:val="21"/>
          <w:sz w:val="28"/>
          <w:szCs w:val="28"/>
        </w:rPr>
      </w:pPr>
    </w:p>
    <w:p w14:paraId="5F8F4C7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偏离情况说明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5564E09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p>
    <w:p w14:paraId="7FF8B006">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7816ECB8">
      <w:pPr>
        <w:keepNext w:val="0"/>
        <w:keepLines w:val="0"/>
        <w:pageBreakBefore w:val="0"/>
        <w:widowControl/>
        <w:kinsoku/>
        <w:wordWrap w:val="0"/>
        <w:overflowPunct/>
        <w:topLinePunct/>
        <w:autoSpaceDE/>
        <w:autoSpaceDN/>
        <w:bidi w:val="0"/>
        <w:adjustRightInd w:val="0"/>
        <w:snapToGrid w:val="0"/>
        <w:spacing w:line="500" w:lineRule="exact"/>
        <w:ind w:left="0" w:right="0" w:firstLine="512" w:firstLineChars="200"/>
        <w:textAlignment w:val="baseline"/>
        <w:rPr>
          <w:rFonts w:hint="eastAsia" w:ascii="仿宋_GB2312" w:hAnsi="仿宋_GB2312" w:eastAsia="仿宋_GB2312" w:cs="仿宋_GB2312"/>
          <w:color w:val="auto"/>
          <w:spacing w:val="-12"/>
          <w:sz w:val="28"/>
          <w:szCs w:val="28"/>
        </w:r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4B8ED89F">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7B42FF3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39400D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37748E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3E3DF83">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401203E">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611E704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2D8A1F6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0A611535">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50DB7FCE">
      <w:pPr>
        <w:bidi w:val="0"/>
        <w:jc w:val="center"/>
        <w:rPr>
          <w:rFonts w:hint="eastAsia" w:ascii="方正小标宋简体" w:hAnsi="方正小标宋简体" w:eastAsia="方正小标宋简体" w:cs="方正小标宋简体"/>
          <w:sz w:val="44"/>
          <w:szCs w:val="44"/>
          <w:lang w:val="en-US" w:eastAsia="zh-CN"/>
        </w:rPr>
      </w:pPr>
    </w:p>
    <w:p w14:paraId="37C42978">
      <w:pPr>
        <w:bidi w:val="0"/>
        <w:jc w:val="both"/>
        <w:rPr>
          <w:rFonts w:hint="eastAsia" w:ascii="方正小标宋简体" w:hAnsi="方正小标宋简体" w:eastAsia="方正小标宋简体" w:cs="方正小标宋简体"/>
          <w:sz w:val="44"/>
          <w:szCs w:val="44"/>
          <w:lang w:val="en-US" w:eastAsia="zh-CN"/>
        </w:rPr>
      </w:pPr>
    </w:p>
    <w:p w14:paraId="19DCC0B0">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南江县人民</w:t>
      </w:r>
      <w:r>
        <w:rPr>
          <w:rFonts w:hint="eastAsia" w:ascii="方正小标宋简体" w:hAnsi="方正小标宋简体" w:eastAsia="方正小标宋简体" w:cs="方正小标宋简体"/>
          <w:sz w:val="44"/>
          <w:szCs w:val="44"/>
        </w:rPr>
        <w:t>医院医用设备购销合同</w:t>
      </w:r>
    </w:p>
    <w:p w14:paraId="79F47E1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017C39A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834A56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r>
        <w:rPr>
          <w:rFonts w:hint="eastAsia" w:ascii="仿宋" w:hAnsi="仿宋" w:eastAsia="仿宋" w:cs="仿宋"/>
          <w:color w:val="auto"/>
          <w:sz w:val="24"/>
          <w:szCs w:val="24"/>
          <w:highlight w:val="none"/>
          <w:lang w:val="en-US" w:eastAsia="zh-CN"/>
        </w:rPr>
        <w:t>南江县人民医院</w:t>
      </w:r>
    </w:p>
    <w:p w14:paraId="2F0C41CB">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714FAF48">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采购人（甲方）：</w:t>
      </w:r>
      <w:r>
        <w:rPr>
          <w:rFonts w:hint="eastAsia" w:ascii="仿宋" w:hAnsi="仿宋" w:eastAsia="仿宋" w:cs="仿宋"/>
          <w:color w:val="auto"/>
          <w:sz w:val="24"/>
          <w:szCs w:val="24"/>
          <w:highlight w:val="none"/>
          <w:lang w:val="en-US" w:eastAsia="zh-CN"/>
        </w:rPr>
        <w:t>南江县人民医院</w:t>
      </w:r>
    </w:p>
    <w:p w14:paraId="5F15132E">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9BD76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1A46C544">
      <w:pPr>
        <w:numPr>
          <w:ilvl w:val="0"/>
          <w:numId w:val="0"/>
        </w:numPr>
        <w:spacing w:line="360" w:lineRule="auto"/>
        <w:ind w:left="1281" w:leftChars="0" w:hanging="720" w:firstLineChars="0"/>
        <w:rPr>
          <w:rFonts w:hint="eastAsia" w:ascii="仿宋" w:hAnsi="仿宋" w:eastAsia="仿宋" w:cs="仿宋"/>
          <w:sz w:val="24"/>
          <w:lang w:val="en-US" w:eastAsia="zh-CN"/>
        </w:rPr>
      </w:pPr>
      <w:r>
        <w:rPr>
          <w:rFonts w:hint="eastAsia" w:ascii="仿宋" w:hAnsi="仿宋" w:eastAsia="仿宋" w:cs="仿宋"/>
          <w:sz w:val="24"/>
          <w:szCs w:val="22"/>
          <w:lang w:val="en-US" w:eastAsia="zh-CN" w:bidi="ar-SA"/>
        </w:rPr>
        <w:t>一、</w:t>
      </w:r>
      <w:r>
        <w:rPr>
          <w:rFonts w:hint="eastAsia" w:ascii="仿宋" w:hAnsi="仿宋" w:eastAsia="仿宋" w:cs="仿宋"/>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49"/>
        <w:gridCol w:w="2244"/>
        <w:gridCol w:w="1370"/>
        <w:gridCol w:w="1250"/>
        <w:gridCol w:w="1678"/>
        <w:gridCol w:w="1401"/>
      </w:tblGrid>
      <w:tr w14:paraId="0A99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0B16D35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5E45CA4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5993A00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2FA8E47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2F37991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4FF53EF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33D70C4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5F0A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0234171E">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40206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0D05E7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1922178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D47EDB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w:t>
            </w:r>
          </w:p>
        </w:tc>
        <w:tc>
          <w:tcPr>
            <w:tcW w:w="806" w:type="pct"/>
            <w:noWrap w:val="0"/>
            <w:vAlign w:val="center"/>
          </w:tcPr>
          <w:p w14:paraId="35D413A4">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63F52A10">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val="0"/>
                <w:color w:val="auto"/>
                <w:sz w:val="24"/>
                <w:szCs w:val="24"/>
                <w:highlight w:val="none"/>
                <w:lang w:val="en-US" w:eastAsia="zh-CN"/>
              </w:rPr>
            </w:pPr>
          </w:p>
        </w:tc>
      </w:tr>
      <w:tr w14:paraId="476F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27E51F3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0214D45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61907D5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51AD10DC">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4BD85E9">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05365088">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560257D2">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r w14:paraId="6F5A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650E27E7">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3E79B4F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7C85BB13">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0BFE748D">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003DC62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48081001">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6F7F4BA">
            <w:pPr>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Cs/>
                <w:color w:val="auto"/>
                <w:sz w:val="24"/>
                <w:szCs w:val="24"/>
                <w:highlight w:val="none"/>
              </w:rPr>
            </w:pPr>
          </w:p>
        </w:tc>
      </w:tr>
    </w:tbl>
    <w:p w14:paraId="27AD3307">
      <w:pPr>
        <w:spacing w:after="156" w:afterLines="50" w:line="360" w:lineRule="auto"/>
        <w:ind w:firstLine="480" w:firstLineChars="200"/>
        <w:rPr>
          <w:rFonts w:hint="eastAsia" w:ascii="仿宋" w:hAnsi="仿宋" w:eastAsia="仿宋" w:cs="仿宋"/>
          <w:sz w:val="24"/>
        </w:rPr>
      </w:pPr>
      <w:r>
        <w:rPr>
          <w:rFonts w:hint="eastAsia" w:ascii="仿宋" w:hAnsi="仿宋" w:eastAsia="仿宋" w:cs="仿宋"/>
          <w:sz w:val="24"/>
        </w:rPr>
        <w:t>（注：本合同价格为固定价格，包括但不限于</w:t>
      </w:r>
      <w:r>
        <w:rPr>
          <w:rFonts w:hint="eastAsia" w:ascii="仿宋" w:hAnsi="仿宋" w:eastAsia="仿宋" w:cs="仿宋"/>
          <w:sz w:val="24"/>
          <w:lang w:eastAsia="zh-CN"/>
        </w:rPr>
        <w:t>：</w:t>
      </w:r>
      <w:r>
        <w:rPr>
          <w:rFonts w:hint="eastAsia" w:ascii="仿宋" w:hAnsi="仿宋" w:eastAsia="仿宋" w:cs="仿宋"/>
          <w:sz w:val="24"/>
          <w:szCs w:val="24"/>
          <w:u w:val="single"/>
          <w:shd w:val="clear" w:color="auto" w:fill="FFFFFF"/>
        </w:rPr>
        <w:t>货款、材料、制造、人工、包装、</w:t>
      </w:r>
      <w:r>
        <w:rPr>
          <w:rFonts w:hint="eastAsia" w:ascii="仿宋" w:hAnsi="仿宋" w:eastAsia="仿宋" w:cs="仿宋"/>
          <w:sz w:val="24"/>
          <w:u w:val="single"/>
        </w:rPr>
        <w:t>运输费、</w:t>
      </w:r>
      <w:r>
        <w:rPr>
          <w:rFonts w:hint="eastAsia" w:ascii="仿宋" w:hAnsi="仿宋" w:eastAsia="仿宋" w:cs="仿宋"/>
          <w:sz w:val="24"/>
          <w:szCs w:val="24"/>
          <w:u w:val="single"/>
          <w:shd w:val="clear" w:color="auto" w:fill="FFFFFF"/>
        </w:rPr>
        <w:t>安装、调试、检测、维保费、</w:t>
      </w:r>
      <w:r>
        <w:rPr>
          <w:rFonts w:hint="eastAsia" w:ascii="仿宋" w:hAnsi="仿宋" w:eastAsia="仿宋" w:cs="仿宋"/>
          <w:sz w:val="24"/>
          <w:u w:val="single"/>
        </w:rPr>
        <w:t>保险费、进院接口费</w:t>
      </w:r>
      <w:r>
        <w:rPr>
          <w:rFonts w:hint="eastAsia" w:ascii="仿宋" w:hAnsi="仿宋" w:eastAsia="仿宋" w:cs="仿宋"/>
          <w:sz w:val="24"/>
          <w:u w:val="single"/>
          <w:lang w:eastAsia="zh-CN"/>
        </w:rPr>
        <w:t>、</w:t>
      </w:r>
      <w:r>
        <w:rPr>
          <w:rFonts w:hint="eastAsia" w:ascii="仿宋" w:hAnsi="仿宋" w:eastAsia="仿宋" w:cs="仿宋"/>
          <w:sz w:val="24"/>
          <w:u w:val="single"/>
        </w:rPr>
        <w:t>税费</w:t>
      </w:r>
      <w:r>
        <w:rPr>
          <w:rFonts w:hint="eastAsia" w:ascii="仿宋" w:hAnsi="仿宋" w:eastAsia="仿宋" w:cs="仿宋"/>
          <w:sz w:val="24"/>
          <w:u w:val="single"/>
          <w:lang w:eastAsia="zh-CN"/>
        </w:rPr>
        <w:t>、</w:t>
      </w:r>
      <w:r>
        <w:rPr>
          <w:rFonts w:hint="eastAsia" w:ascii="仿宋" w:hAnsi="仿宋" w:eastAsia="仿宋" w:cs="仿宋"/>
          <w:sz w:val="24"/>
          <w:u w:val="single"/>
          <w:lang w:val="en-US" w:eastAsia="zh-CN"/>
        </w:rPr>
        <w:t>鉴定费以及律师费</w:t>
      </w:r>
      <w:r>
        <w:rPr>
          <w:rFonts w:hint="eastAsia" w:ascii="仿宋" w:hAnsi="仿宋" w:eastAsia="仿宋" w:cs="仿宋"/>
          <w:sz w:val="24"/>
          <w:u w:val="single"/>
        </w:rPr>
        <w:t>等全部费用</w:t>
      </w:r>
      <w:r>
        <w:rPr>
          <w:rFonts w:hint="eastAsia" w:ascii="仿宋" w:hAnsi="仿宋" w:eastAsia="仿宋" w:cs="仿宋"/>
          <w:sz w:val="24"/>
        </w:rPr>
        <w:t>。货币结算单位为人民币。本合同执行期间合同单价不变，甲方无须另向乙方支付本合同规定之外的其他任何费用。）</w:t>
      </w:r>
    </w:p>
    <w:p w14:paraId="77249A4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二、主体资格及知识产权承诺</w:t>
      </w:r>
    </w:p>
    <w:p w14:paraId="6251BF07">
      <w:pPr>
        <w:spacing w:after="156" w:afterLines="50"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193CEB86">
      <w:pPr>
        <w:spacing w:line="360" w:lineRule="auto"/>
        <w:ind w:firstLine="57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乙方应保证其拥有该设备涉及的包括软件在内的所有知识产权（软件须提供正版标识），如有任何第三方就该设备所涉知识产权主张权利，乙方对此承担全部法律责任。</w:t>
      </w:r>
    </w:p>
    <w:p w14:paraId="7BD8AF3F">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三、所购设备配置</w:t>
      </w:r>
    </w:p>
    <w:p w14:paraId="015C479F">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该合同价款包括了附件《配置清单》中所列所有部件，乙方承诺所有配件均为该设备原装全新配件。</w:t>
      </w:r>
    </w:p>
    <w:p w14:paraId="64CD9340">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四、交货时间和地点</w:t>
      </w:r>
    </w:p>
    <w:p w14:paraId="40781E97">
      <w:pPr>
        <w:pStyle w:val="11"/>
        <w:spacing w:line="360" w:lineRule="auto"/>
        <w:ind w:firstLine="480" w:firstLineChars="200"/>
        <w:rPr>
          <w:rFonts w:hint="eastAsia" w:ascii="仿宋" w:hAnsi="仿宋" w:eastAsia="仿宋" w:cs="仿宋"/>
        </w:rPr>
      </w:pPr>
      <w:r>
        <w:rPr>
          <w:rFonts w:hint="eastAsia" w:ascii="仿宋" w:hAnsi="仿宋" w:eastAsia="仿宋" w:cs="仿宋"/>
        </w:rPr>
        <w:t>合同签订生效后，乙方在</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国产30日</w:t>
      </w:r>
      <w:r>
        <w:rPr>
          <w:rFonts w:hint="eastAsia" w:ascii="仿宋" w:hAnsi="仿宋" w:eastAsia="仿宋" w:cs="仿宋"/>
          <w:lang w:eastAsia="zh-CN"/>
        </w:rPr>
        <w:t>，</w:t>
      </w:r>
      <w:r>
        <w:rPr>
          <w:rFonts w:hint="eastAsia" w:ascii="仿宋" w:hAnsi="仿宋" w:eastAsia="仿宋" w:cs="仿宋"/>
          <w:sz w:val="21"/>
          <w:szCs w:val="21"/>
          <w:lang w:eastAsia="zh-CN"/>
        </w:rPr>
        <w:t>□</w:t>
      </w:r>
      <w:r>
        <w:rPr>
          <w:rFonts w:hint="eastAsia" w:ascii="仿宋" w:hAnsi="仿宋" w:eastAsia="仿宋" w:cs="仿宋"/>
        </w:rPr>
        <w:t>进口60日</w:t>
      </w:r>
      <w:r>
        <w:rPr>
          <w:rFonts w:hint="eastAsia" w:ascii="仿宋" w:hAnsi="仿宋" w:eastAsia="仿宋" w:cs="仿宋"/>
          <w:lang w:eastAsia="zh-CN"/>
        </w:rPr>
        <w:t>）</w:t>
      </w:r>
      <w:r>
        <w:rPr>
          <w:rFonts w:hint="eastAsia" w:ascii="仿宋" w:hAnsi="仿宋" w:eastAsia="仿宋" w:cs="仿宋"/>
        </w:rPr>
        <w:t>内送货至甲方指定地点，运费及货运保险费等相关所有费用由乙方承担。验收合格前货物的所有风险由乙方承担。</w:t>
      </w:r>
    </w:p>
    <w:p w14:paraId="7CCE0E28">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五、货物安装及验收</w:t>
      </w:r>
    </w:p>
    <w:p w14:paraId="02D7B9AB">
      <w:pPr>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393A9022">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color w:val="auto"/>
          <w:sz w:val="24"/>
          <w:szCs w:val="24"/>
          <w:highlight w:val="none"/>
        </w:rPr>
        <w:t>项目在乙方通知安装调试完毕后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rPr>
        <w:t>日内初步验收。初步验收合格后，进入试用期；试用期间发生重大质量问题，修复后试用相应顺延；试用期结束后</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lang w:eastAsia="zh-CN"/>
        </w:rPr>
        <w:t>。</w:t>
      </w:r>
    </w:p>
    <w:p w14:paraId="6DF4668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1FE7522">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产品</w:t>
      </w:r>
      <w:r>
        <w:rPr>
          <w:rFonts w:hint="eastAsia" w:ascii="仿宋" w:hAnsi="仿宋" w:eastAsia="仿宋" w:cs="仿宋"/>
          <w:sz w:val="24"/>
          <w:lang w:val="en-US" w:eastAsia="zh-CN"/>
        </w:rPr>
        <w:t>需</w:t>
      </w:r>
      <w:r>
        <w:rPr>
          <w:rFonts w:hint="eastAsia" w:ascii="仿宋" w:hAnsi="仿宋" w:eastAsia="仿宋" w:cs="仿宋"/>
          <w:sz w:val="24"/>
        </w:rPr>
        <w:t>满足下列</w:t>
      </w:r>
      <w:r>
        <w:rPr>
          <w:rFonts w:hint="eastAsia" w:ascii="仿宋" w:hAnsi="仿宋" w:eastAsia="仿宋" w:cs="仿宋"/>
          <w:sz w:val="24"/>
          <w:lang w:eastAsia="zh-CN"/>
        </w:rPr>
        <w:t>内容</w:t>
      </w:r>
      <w:r>
        <w:rPr>
          <w:rFonts w:hint="eastAsia" w:ascii="仿宋" w:hAnsi="仿宋" w:eastAsia="仿宋" w:cs="仿宋"/>
          <w:sz w:val="24"/>
        </w:rPr>
        <w:t>：</w:t>
      </w:r>
    </w:p>
    <w:p w14:paraId="25489795">
      <w:pPr>
        <w:spacing w:line="360" w:lineRule="auto"/>
        <w:ind w:firstLine="570"/>
        <w:rPr>
          <w:rFonts w:hint="eastAsia" w:ascii="仿宋" w:hAnsi="仿宋" w:eastAsia="仿宋" w:cs="仿宋"/>
          <w:sz w:val="24"/>
        </w:rPr>
      </w:pPr>
      <w:r>
        <w:rPr>
          <w:rFonts w:hint="eastAsia" w:ascii="仿宋" w:hAnsi="仿宋" w:eastAsia="仿宋" w:cs="仿宋"/>
          <w:sz w:val="24"/>
        </w:rPr>
        <w:t>（1）本合同及《配置清单》中约定的所有部件之规格及数目。</w:t>
      </w:r>
    </w:p>
    <w:p w14:paraId="1A4639A4">
      <w:pPr>
        <w:spacing w:line="360" w:lineRule="auto"/>
        <w:ind w:firstLine="570"/>
        <w:rPr>
          <w:rFonts w:hint="eastAsia" w:ascii="仿宋" w:hAnsi="仿宋" w:eastAsia="仿宋" w:cs="仿宋"/>
          <w:sz w:val="24"/>
        </w:rPr>
      </w:pPr>
      <w:r>
        <w:rPr>
          <w:rFonts w:hint="eastAsia" w:ascii="仿宋" w:hAnsi="仿宋" w:eastAsia="仿宋" w:cs="仿宋"/>
          <w:sz w:val="24"/>
        </w:rPr>
        <w:t>（2）招标文件中注明的所有技术参数。</w:t>
      </w:r>
    </w:p>
    <w:p w14:paraId="77893CCA">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（3）产品使用说明、证明产品质量的所有书面文件如</w:t>
      </w:r>
      <w:r>
        <w:rPr>
          <w:rStyle w:val="12"/>
          <w:rFonts w:hint="eastAsia" w:ascii="仿宋" w:hAnsi="仿宋" w:eastAsia="仿宋" w:cs="仿宋"/>
          <w:sz w:val="24"/>
        </w:rPr>
        <w:t>质量检验合格证、装箱单、产品安装使用说明书、质保单等，</w:t>
      </w:r>
      <w:r>
        <w:rPr>
          <w:rFonts w:hint="eastAsia" w:ascii="仿宋" w:hAnsi="仿宋" w:eastAsia="仿宋" w:cs="仿宋"/>
          <w:sz w:val="24"/>
        </w:rPr>
        <w:t>进口产品具备所有海关手续。</w:t>
      </w:r>
    </w:p>
    <w:p w14:paraId="4E8F41C0">
      <w:pPr>
        <w:spacing w:line="360" w:lineRule="auto"/>
        <w:ind w:left="73" w:leftChars="35" w:firstLine="480" w:firstLineChars="200"/>
        <w:rPr>
          <w:rFonts w:hint="eastAsia" w:ascii="仿宋" w:hAnsi="仿宋" w:eastAsia="仿宋" w:cs="仿宋"/>
          <w:sz w:val="24"/>
        </w:rPr>
      </w:pPr>
      <w:r>
        <w:rPr>
          <w:rFonts w:hint="eastAsia" w:ascii="仿宋" w:hAnsi="仿宋" w:eastAsia="仿宋" w:cs="仿宋"/>
          <w:sz w:val="24"/>
        </w:rPr>
        <w:t>（4）政策法规等相关规定要求的相关证明材料。</w:t>
      </w:r>
    </w:p>
    <w:p w14:paraId="24E301DF">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rPr>
        <w:t>乙方应按照本合同第四条约定的期限提供符合上述要求的设备。否则，甲方有权解除合同，并有权按照本合同十一条要求乙方支付违约金。如甲方已支付货款的，乙方</w:t>
      </w:r>
      <w:r>
        <w:rPr>
          <w:rFonts w:hint="eastAsia" w:ascii="仿宋" w:hAnsi="仿宋" w:eastAsia="仿宋" w:cs="仿宋"/>
          <w:sz w:val="24"/>
          <w:lang w:val="en-US" w:eastAsia="zh-CN"/>
        </w:rPr>
        <w:t>除支付违约金外还</w:t>
      </w:r>
      <w:r>
        <w:rPr>
          <w:rFonts w:hint="eastAsia" w:ascii="仿宋" w:hAnsi="仿宋" w:eastAsia="仿宋" w:cs="仿宋"/>
          <w:sz w:val="24"/>
        </w:rPr>
        <w:t>应全额返还货款并按照中国人民银行同类同期银行贷款利息支付利息。</w:t>
      </w:r>
    </w:p>
    <w:p w14:paraId="58B4349A">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AC5BFC5">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231182B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项目完成后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086D6D1C">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6EB225E">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六、人员培训</w:t>
      </w:r>
    </w:p>
    <w:p w14:paraId="3B6ECBA4">
      <w:pPr>
        <w:spacing w:line="360" w:lineRule="auto"/>
        <w:ind w:firstLine="480" w:firstLineChars="200"/>
        <w:rPr>
          <w:rFonts w:hint="eastAsia" w:ascii="仿宋" w:hAnsi="仿宋" w:eastAsia="仿宋" w:cs="仿宋"/>
          <w:sz w:val="24"/>
        </w:rPr>
      </w:pPr>
      <w:r>
        <w:rPr>
          <w:rFonts w:hint="eastAsia" w:ascii="仿宋" w:hAnsi="仿宋" w:eastAsia="仿宋" w:cs="仿宋"/>
          <w:sz w:val="24"/>
        </w:rPr>
        <w:t>乙方应对甲方工作人员进行免费培训，保证受训人员能熟练操作，并对该</w:t>
      </w:r>
      <w:r>
        <w:rPr>
          <w:rFonts w:hint="eastAsia" w:ascii="仿宋" w:hAnsi="仿宋" w:eastAsia="仿宋" w:cs="仿宋"/>
          <w:sz w:val="24"/>
          <w:lang w:eastAsia="zh-CN"/>
        </w:rPr>
        <w:t>设备</w:t>
      </w:r>
      <w:r>
        <w:rPr>
          <w:rFonts w:hint="eastAsia" w:ascii="仿宋" w:hAnsi="仿宋" w:eastAsia="仿宋" w:cs="仿宋"/>
          <w:sz w:val="24"/>
        </w:rPr>
        <w:t>进行日常维护。</w:t>
      </w:r>
    </w:p>
    <w:p w14:paraId="3486D75C">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七、质量承诺：</w:t>
      </w:r>
    </w:p>
    <w:p w14:paraId="7AFA8E56">
      <w:pPr>
        <w:spacing w:line="360" w:lineRule="auto"/>
        <w:ind w:firstLine="57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乙方应保证该货物原产地真实，是全新的、未使用过的，标识清楚、权属清楚，质量符合</w:t>
      </w:r>
      <w:r>
        <w:rPr>
          <w:rFonts w:hint="eastAsia" w:ascii="仿宋" w:hAnsi="仿宋" w:eastAsia="仿宋" w:cs="仿宋"/>
          <w:sz w:val="24"/>
          <w:lang w:val="en-US" w:eastAsia="zh-CN"/>
        </w:rPr>
        <w:t>或优于</w:t>
      </w:r>
      <w:r>
        <w:rPr>
          <w:rFonts w:hint="eastAsia" w:ascii="仿宋" w:hAnsi="仿宋" w:eastAsia="仿宋" w:cs="仿宋"/>
          <w:sz w:val="24"/>
        </w:rPr>
        <w:t>国家</w:t>
      </w:r>
      <w:r>
        <w:rPr>
          <w:rFonts w:hint="eastAsia" w:ascii="仿宋" w:hAnsi="仿宋" w:eastAsia="仿宋" w:cs="仿宋"/>
          <w:sz w:val="24"/>
          <w:lang w:eastAsia="zh-CN"/>
        </w:rPr>
        <w:t>（</w:t>
      </w:r>
      <w:r>
        <w:rPr>
          <w:rFonts w:hint="eastAsia" w:ascii="仿宋" w:hAnsi="仿宋" w:eastAsia="仿宋" w:cs="仿宋"/>
          <w:sz w:val="24"/>
          <w:lang w:val="en-US" w:eastAsia="zh-CN"/>
        </w:rPr>
        <w:t>行业</w:t>
      </w:r>
      <w:r>
        <w:rPr>
          <w:rFonts w:hint="eastAsia" w:ascii="仿宋" w:hAnsi="仿宋" w:eastAsia="仿宋" w:cs="仿宋"/>
          <w:sz w:val="24"/>
          <w:lang w:eastAsia="zh-CN"/>
        </w:rPr>
        <w:t>）</w:t>
      </w:r>
      <w:r>
        <w:rPr>
          <w:rFonts w:hint="eastAsia" w:ascii="仿宋" w:hAnsi="仿宋" w:eastAsia="仿宋" w:cs="仿宋"/>
          <w:sz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rPr>
        <w:t>不得以假充真，以次充好。</w:t>
      </w:r>
    </w:p>
    <w:p w14:paraId="3FFD5E84">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rPr>
        <w:t>在保修期内乙方应保证甲方对该设备的使用达到第（2）种标准：</w:t>
      </w:r>
    </w:p>
    <w:p w14:paraId="186A791B">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（1）正常使用时间不少于</w:t>
      </w:r>
      <w:r>
        <w:rPr>
          <w:rFonts w:hint="eastAsia" w:ascii="仿宋" w:hAnsi="仿宋" w:eastAsia="仿宋" w:cs="仿宋"/>
          <w:sz w:val="24"/>
          <w:lang w:val="en-US" w:eastAsia="zh-CN"/>
        </w:rPr>
        <w:t xml:space="preserve">  </w:t>
      </w:r>
      <w:r>
        <w:rPr>
          <w:rFonts w:hint="eastAsia" w:ascii="仿宋" w:hAnsi="仿宋" w:eastAsia="仿宋" w:cs="仿宋"/>
          <w:sz w:val="24"/>
        </w:rPr>
        <w:t>个工作日；</w:t>
      </w:r>
    </w:p>
    <w:p w14:paraId="66B2CF29">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 xml:space="preserve">（2）因故障停用时间小于 </w:t>
      </w:r>
      <w:r>
        <w:rPr>
          <w:rFonts w:hint="eastAsia" w:ascii="仿宋" w:hAnsi="仿宋" w:eastAsia="仿宋" w:cs="仿宋"/>
          <w:sz w:val="24"/>
          <w:u w:val="single"/>
        </w:rPr>
        <w:t xml:space="preserve">  7   </w:t>
      </w:r>
      <w:r>
        <w:rPr>
          <w:rFonts w:hint="eastAsia" w:ascii="仿宋" w:hAnsi="仿宋" w:eastAsia="仿宋" w:cs="仿宋"/>
          <w:sz w:val="24"/>
        </w:rPr>
        <w:t>个工作日。</w:t>
      </w:r>
    </w:p>
    <w:p w14:paraId="373992DD">
      <w:p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rPr>
        <w:t>（工作日是按照每年365天，每天24小时进行计算。）</w:t>
      </w:r>
    </w:p>
    <w:p w14:paraId="0BB8ECA4">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3.</w:t>
      </w:r>
      <w:r>
        <w:rPr>
          <w:rFonts w:hint="eastAsia" w:ascii="仿宋" w:hAnsi="仿宋" w:eastAsia="仿宋" w:cs="仿宋"/>
          <w:sz w:val="24"/>
        </w:rPr>
        <w:t>如因设备质量瑕疵导致甲方无法正常使用或影响使用效果，由此与患者发生纠纷而导致甲方赔偿，乙方对此承担全部责任。</w:t>
      </w:r>
    </w:p>
    <w:p w14:paraId="49636F3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17834BBC">
      <w:pPr>
        <w:numPr>
          <w:ilvl w:val="0"/>
          <w:numId w:val="0"/>
        </w:numPr>
        <w:spacing w:line="360" w:lineRule="auto"/>
        <w:ind w:left="-139" w:leftChars="-66" w:firstLine="720" w:firstLineChars="300"/>
        <w:rPr>
          <w:rFonts w:hint="eastAsia" w:ascii="仿宋" w:hAnsi="仿宋" w:eastAsia="仿宋" w:cs="仿宋"/>
          <w:sz w:val="24"/>
        </w:rPr>
      </w:pPr>
      <w:r>
        <w:rPr>
          <w:rFonts w:hint="eastAsia" w:ascii="仿宋" w:hAnsi="仿宋" w:eastAsia="仿宋" w:cs="仿宋"/>
          <w:sz w:val="24"/>
          <w:szCs w:val="22"/>
          <w:lang w:val="en-US" w:eastAsia="zh-CN" w:bidi="ar-SA"/>
        </w:rPr>
        <w:t>5.</w:t>
      </w:r>
      <w:r>
        <w:rPr>
          <w:rFonts w:hint="eastAsia" w:ascii="仿宋" w:hAnsi="仿宋" w:eastAsia="仿宋" w:cs="仿宋"/>
          <w:sz w:val="24"/>
        </w:rPr>
        <w:t>乙方保证设备及其配件、附属设备均取得了国家卫生、医药行政部门的合法批文，若甲方在使用过程中由此受到行政处罚，则乙方对此承担全部责任并双倍赔偿甲方损失。</w:t>
      </w:r>
    </w:p>
    <w:p w14:paraId="0200DC7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八、产品保修及维修：</w:t>
      </w:r>
    </w:p>
    <w:p w14:paraId="36626BA6">
      <w:pPr>
        <w:spacing w:line="36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w:t>
      </w:r>
      <w:r>
        <w:rPr>
          <w:rFonts w:hint="eastAsia" w:ascii="仿宋" w:hAnsi="仿宋" w:eastAsia="仿宋" w:cs="仿宋"/>
          <w:sz w:val="24"/>
        </w:rPr>
        <w:t>保修期：项目验收合格后2年，生产厂家保修期超过2年的，以生产厂家保修期为准。除非因采购人使用不当，货物在保修期内被发现存在任何质量问题，供应商应按照“三包”规定负责对货物进行维修、退换，退换的货物的保修期应重新计算。</w:t>
      </w:r>
    </w:p>
    <w:p w14:paraId="3ECFD0F8">
      <w:pPr>
        <w:widowControl/>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2"/>
          <w:lang w:val="en-US" w:eastAsia="zh-CN" w:bidi="ar"/>
        </w:rPr>
        <w:t>12小时内完成维修或更换，并承担因此产生的修理调换的配件、运输及人工等费用。</w:t>
      </w:r>
    </w:p>
    <w:p w14:paraId="37006884">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val="en-US" w:eastAsia="zh-CN"/>
        </w:rPr>
        <w:t>.</w:t>
      </w:r>
      <w:r>
        <w:rPr>
          <w:rFonts w:hint="eastAsia" w:ascii="仿宋" w:hAnsi="仿宋" w:eastAsia="仿宋" w:cs="仿宋"/>
          <w:kern w:val="0"/>
          <w:sz w:val="24"/>
          <w:szCs w:val="22"/>
          <w:lang w:val="en-US" w:eastAsia="zh-CN" w:bidi="ar"/>
        </w:rPr>
        <w:t>质保期内，乙方提供每月定期巡回保养服务。</w:t>
      </w:r>
    </w:p>
    <w:p w14:paraId="629CF5B9">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4.乙方</w:t>
      </w:r>
      <w:r>
        <w:rPr>
          <w:rFonts w:hint="eastAsia" w:ascii="仿宋" w:hAnsi="仿宋" w:eastAsia="仿宋" w:cs="仿宋"/>
          <w:kern w:val="0"/>
          <w:sz w:val="24"/>
          <w:szCs w:val="22"/>
          <w:lang w:val="en-US" w:eastAsia="zh-CN" w:bidi="ar"/>
        </w:rPr>
        <w:t>在甲方所在地进行安装调试、试运转和现场培训。</w:t>
      </w:r>
    </w:p>
    <w:p w14:paraId="641F57A5">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kern w:val="0"/>
          <w:sz w:val="24"/>
          <w:szCs w:val="22"/>
          <w:lang w:val="en-US" w:eastAsia="zh-CN" w:bidi="ar"/>
        </w:rPr>
        <w:t>质保期内，乙方提供升级维修（包括上门服务）服务，对软件产品生命周期内所有的重大修复、关键安全性升级等技术支持服务。</w:t>
      </w:r>
    </w:p>
    <w:p w14:paraId="331365F0">
      <w:pPr>
        <w:keepNext w:val="0"/>
        <w:keepLines w:val="0"/>
        <w:widowControl/>
        <w:suppressLineNumbers w:val="0"/>
        <w:spacing w:line="360" w:lineRule="auto"/>
        <w:ind w:firstLine="480" w:firstLineChars="200"/>
        <w:jc w:val="left"/>
        <w:rPr>
          <w:rFonts w:hint="eastAsia" w:ascii="仿宋" w:hAnsi="仿宋" w:eastAsia="仿宋" w:cs="仿宋"/>
          <w:sz w:val="24"/>
        </w:rPr>
      </w:pPr>
      <w:r>
        <w:rPr>
          <w:rFonts w:hint="eastAsia" w:ascii="仿宋" w:hAnsi="仿宋" w:eastAsia="仿宋" w:cs="仿宋"/>
          <w:kern w:val="0"/>
          <w:sz w:val="24"/>
          <w:szCs w:val="22"/>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如涉及更换配件的，则所换配件必须是原厂全新的，质保期外提供终身维护</w:t>
      </w:r>
      <w:r>
        <w:rPr>
          <w:rFonts w:hint="eastAsia" w:ascii="仿宋" w:hAnsi="仿宋" w:eastAsia="仿宋" w:cs="仿宋"/>
          <w:kern w:val="0"/>
          <w:sz w:val="24"/>
          <w:szCs w:val="22"/>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2"/>
          <w:lang w:val="en-US" w:eastAsia="zh-CN" w:bidi="ar"/>
        </w:rPr>
        <w:t>。</w:t>
      </w:r>
    </w:p>
    <w:p w14:paraId="36F66A31">
      <w:pPr>
        <w:widowControl/>
        <w:spacing w:line="360" w:lineRule="auto"/>
        <w:ind w:firstLine="480" w:firstLineChars="200"/>
        <w:rPr>
          <w:rFonts w:hint="eastAsia" w:ascii="仿宋" w:hAnsi="仿宋" w:eastAsia="仿宋" w:cs="仿宋"/>
          <w:kern w:val="0"/>
          <w:sz w:val="24"/>
          <w:szCs w:val="22"/>
          <w:lang w:val="en-US" w:eastAsia="zh-CN" w:bidi="ar"/>
        </w:rPr>
      </w:pPr>
      <w:r>
        <w:rPr>
          <w:rFonts w:hint="eastAsia" w:ascii="仿宋" w:hAnsi="仿宋" w:eastAsia="仿宋" w:cs="仿宋"/>
          <w:sz w:val="24"/>
          <w:lang w:val="en-US" w:eastAsia="zh-CN" w:bidi="ar"/>
        </w:rPr>
        <w:t>7.质保期</w:t>
      </w:r>
      <w:r>
        <w:rPr>
          <w:rFonts w:hint="eastAsia" w:ascii="仿宋" w:hAnsi="仿宋" w:eastAsia="仿宋" w:cs="仿宋"/>
          <w:sz w:val="24"/>
          <w:lang w:bidi="ar"/>
        </w:rPr>
        <w:t>内</w:t>
      </w:r>
      <w:r>
        <w:rPr>
          <w:rFonts w:hint="eastAsia" w:ascii="仿宋" w:hAnsi="仿宋" w:eastAsia="仿宋" w:cs="仿宋"/>
          <w:sz w:val="24"/>
          <w:lang w:eastAsia="zh-CN" w:bidi="ar"/>
        </w:rPr>
        <w:t>，</w:t>
      </w:r>
      <w:r>
        <w:rPr>
          <w:rFonts w:hint="eastAsia" w:ascii="仿宋" w:hAnsi="仿宋" w:eastAsia="仿宋" w:cs="仿宋"/>
          <w:sz w:val="24"/>
          <w:lang w:val="en-US" w:eastAsia="zh-CN" w:bidi="ar"/>
        </w:rPr>
        <w:t>设备</w:t>
      </w:r>
      <w:r>
        <w:rPr>
          <w:rFonts w:hint="eastAsia" w:ascii="仿宋" w:hAnsi="仿宋" w:eastAsia="仿宋" w:cs="仿宋"/>
          <w:sz w:val="24"/>
          <w:lang w:bidi="ar"/>
        </w:rPr>
        <w:t>单次维修时间超过</w:t>
      </w:r>
      <w:r>
        <w:rPr>
          <w:rFonts w:hint="eastAsia" w:ascii="仿宋" w:hAnsi="仿宋" w:eastAsia="仿宋" w:cs="仿宋"/>
          <w:sz w:val="24"/>
          <w:u w:val="none"/>
          <w:lang w:bidi="ar"/>
        </w:rPr>
        <w:t>15</w:t>
      </w:r>
      <w:r>
        <w:rPr>
          <w:rFonts w:hint="eastAsia" w:ascii="仿宋" w:hAnsi="仿宋" w:eastAsia="仿宋" w:cs="仿宋"/>
          <w:sz w:val="24"/>
          <w:lang w:bidi="ar"/>
        </w:rPr>
        <w:t>天或非因甲方使用不当导致的同一故障维修累计超过4次，乙方应无条件更换新设备，</w:t>
      </w:r>
      <w:r>
        <w:rPr>
          <w:rFonts w:hint="eastAsia" w:ascii="仿宋" w:hAnsi="仿宋" w:eastAsia="仿宋" w:cs="仿宋"/>
          <w:kern w:val="0"/>
          <w:sz w:val="24"/>
          <w:szCs w:val="22"/>
          <w:lang w:val="en-US" w:eastAsia="zh-CN" w:bidi="ar"/>
        </w:rPr>
        <w:t>并对产品质量实行“三包”服务。</w:t>
      </w:r>
      <w:r>
        <w:rPr>
          <w:rFonts w:hint="eastAsia" w:ascii="仿宋" w:hAnsi="仿宋" w:eastAsia="仿宋" w:cs="仿宋"/>
          <w:sz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0B371FEA">
      <w:pPr>
        <w:spacing w:line="360" w:lineRule="auto"/>
        <w:ind w:firstLine="570"/>
        <w:rPr>
          <w:rFonts w:hint="eastAsia" w:ascii="仿宋" w:hAnsi="仿宋" w:eastAsia="仿宋" w:cs="仿宋"/>
          <w:sz w:val="24"/>
        </w:rPr>
      </w:pPr>
      <w:r>
        <w:rPr>
          <w:rFonts w:hint="eastAsia" w:ascii="仿宋" w:hAnsi="仿宋" w:eastAsia="仿宋" w:cs="仿宋"/>
          <w:sz w:val="24"/>
          <w:lang w:val="en-US" w:eastAsia="zh-CN"/>
        </w:rPr>
        <w:t>8.</w:t>
      </w:r>
      <w:r>
        <w:rPr>
          <w:rFonts w:hint="eastAsia" w:ascii="仿宋" w:hAnsi="仿宋" w:eastAsia="仿宋" w:cs="仿宋"/>
          <w:sz w:val="24"/>
        </w:rPr>
        <w:t>若设备涉及计算机软件系统的，乙方有义务为甲方此后对设备完全的使用提供便利及支持，包括但不限于源代码、密码的提供，乙方不得拒绝或收取额外费用。</w:t>
      </w:r>
    </w:p>
    <w:p w14:paraId="3CF14C97">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九、产品软件升级特别约定</w:t>
      </w:r>
    </w:p>
    <w:p w14:paraId="52673C81">
      <w:pPr>
        <w:spacing w:line="360" w:lineRule="auto"/>
        <w:ind w:firstLine="570"/>
        <w:rPr>
          <w:rFonts w:hint="eastAsia" w:ascii="仿宋" w:hAnsi="仿宋" w:eastAsia="仿宋" w:cs="仿宋"/>
          <w:sz w:val="24"/>
        </w:rPr>
      </w:pPr>
      <w:r>
        <w:rPr>
          <w:rFonts w:hint="eastAsia" w:ascii="仿宋" w:hAnsi="仿宋" w:eastAsia="仿宋" w:cs="仿宋"/>
          <w:sz w:val="24"/>
        </w:rPr>
        <w:t>乙方承诺当设备有升级版本时，免费为甲方就设备软件提供升级服务。</w:t>
      </w:r>
    </w:p>
    <w:p w14:paraId="42023212">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十、付款方式</w:t>
      </w:r>
    </w:p>
    <w:p w14:paraId="00569A81">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zh-CN" w:eastAsia="zh-CN"/>
        </w:rPr>
        <w:t>项目验收合格后，达到付款条件起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zh-CN" w:eastAsia="zh-CN"/>
        </w:rPr>
        <w:t>9</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r>
        <w:rPr>
          <w:rFonts w:hint="eastAsia" w:ascii="仿宋" w:hAnsi="仿宋" w:eastAsia="仿宋" w:cs="仿宋"/>
          <w:color w:val="auto"/>
          <w:sz w:val="24"/>
          <w:szCs w:val="24"/>
          <w:highlight w:val="none"/>
          <w:lang w:val="en-US" w:eastAsia="zh-CN"/>
        </w:rPr>
        <w:t>自验收合格之日起2</w:t>
      </w:r>
      <w:r>
        <w:rPr>
          <w:rFonts w:hint="eastAsia" w:ascii="仿宋" w:hAnsi="仿宋" w:eastAsia="仿宋" w:cs="仿宋"/>
          <w:color w:val="auto"/>
          <w:sz w:val="24"/>
          <w:szCs w:val="24"/>
          <w:highlight w:val="none"/>
          <w:lang w:val="zh-CN" w:eastAsia="zh-CN"/>
        </w:rPr>
        <w:t>年后，达到付款条件起</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lang w:val="zh-CN" w:eastAsia="zh-CN"/>
        </w:rPr>
        <w:t>日内，支付合同金额的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lang w:val="zh-CN" w:eastAsia="zh-CN"/>
        </w:rPr>
        <w:t>%</w:t>
      </w:r>
      <w:r>
        <w:rPr>
          <w:rFonts w:hint="eastAsia" w:ascii="仿宋" w:hAnsi="仿宋" w:eastAsia="仿宋" w:cs="仿宋"/>
          <w:color w:val="auto"/>
          <w:sz w:val="24"/>
          <w:szCs w:val="24"/>
          <w:highlight w:val="none"/>
          <w:lang w:val="zh-CN" w:eastAsia="zh-CN"/>
        </w:rPr>
        <w:t>。</w:t>
      </w:r>
    </w:p>
    <w:p w14:paraId="29CE206D">
      <w:pPr>
        <w:pStyle w:val="13"/>
        <w:spacing w:line="360" w:lineRule="auto"/>
        <w:ind w:left="0" w:leftChars="0" w:firstLine="480" w:firstLineChars="200"/>
        <w:rPr>
          <w:rFonts w:hint="eastAsia" w:ascii="仿宋" w:hAnsi="仿宋" w:eastAsia="仿宋" w:cs="仿宋"/>
          <w:color w:val="auto"/>
          <w:szCs w:val="22"/>
        </w:rPr>
      </w:pPr>
      <w:r>
        <w:rPr>
          <w:rFonts w:hint="eastAsia" w:ascii="仿宋" w:hAnsi="仿宋" w:eastAsia="仿宋" w:cs="仿宋"/>
          <w:color w:val="auto"/>
          <w:szCs w:val="22"/>
          <w:lang w:val="en-US" w:eastAsia="zh-CN"/>
        </w:rPr>
        <w:t>2.</w:t>
      </w:r>
      <w:r>
        <w:rPr>
          <w:rFonts w:hint="eastAsia" w:ascii="仿宋" w:hAnsi="仿宋" w:eastAsia="仿宋" w:cs="仿宋"/>
          <w:color w:val="auto"/>
          <w:szCs w:val="22"/>
        </w:rPr>
        <w:t>以上全部金额，在甲方付款前，乙方应先按照合同总金额出具合法有效完整的完税发票及凭证资料。否则，甲方有权拒绝付款并且不因此承担违约责任。</w:t>
      </w:r>
    </w:p>
    <w:p w14:paraId="62061051">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十一、违约责任</w:t>
      </w:r>
    </w:p>
    <w:p w14:paraId="4C41597D">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94CF9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1.甲方无正当理由拒收产品的，甲方应偿付合同总价百分之</w:t>
      </w:r>
      <w:r>
        <w:rPr>
          <w:rFonts w:hint="eastAsia" w:ascii="仿宋" w:hAnsi="仿宋" w:eastAsia="仿宋" w:cs="仿宋"/>
          <w:color w:val="auto"/>
          <w:sz w:val="24"/>
          <w:szCs w:val="24"/>
          <w:highlight w:val="none"/>
          <w:lang w:val="en-US" w:eastAsia="zh-CN"/>
        </w:rPr>
        <w:t>十</w:t>
      </w:r>
      <w:r>
        <w:rPr>
          <w:rFonts w:hint="eastAsia" w:ascii="仿宋" w:hAnsi="仿宋" w:eastAsia="仿宋" w:cs="仿宋"/>
          <w:color w:val="auto"/>
          <w:sz w:val="24"/>
          <w:szCs w:val="24"/>
          <w:highlight w:val="none"/>
        </w:rPr>
        <w:t>的违约金；</w:t>
      </w:r>
    </w:p>
    <w:p w14:paraId="46A35B20">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2.甲方逾期支付合同价款的，除应及时付足合同价款外，应向乙方偿付欠款总额</w:t>
      </w:r>
      <w:r>
        <w:rPr>
          <w:rFonts w:hint="eastAsia" w:ascii="仿宋" w:hAnsi="仿宋" w:eastAsia="仿宋" w:cs="仿宋"/>
          <w:color w:val="auto"/>
          <w:sz w:val="24"/>
          <w:szCs w:val="24"/>
          <w:highlight w:val="none"/>
          <w:lang w:val="en-US" w:eastAsia="zh-CN"/>
        </w:rPr>
        <w:t>千分之一/天</w:t>
      </w:r>
      <w:r>
        <w:rPr>
          <w:rFonts w:hint="eastAsia" w:ascii="仿宋" w:hAnsi="仿宋" w:eastAsia="仿宋" w:cs="仿宋"/>
          <w:color w:val="auto"/>
          <w:sz w:val="24"/>
          <w:szCs w:val="24"/>
          <w:highlight w:val="none"/>
        </w:rPr>
        <w:t>的违约金；逾期付款超过</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日的，乙方有权终止合同；</w:t>
      </w:r>
    </w:p>
    <w:p w14:paraId="3EE32DF4">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3.甲方偿付的违约金不足以弥补乙方损失的，还应按乙方损失尚未弥补的部分，支付赔偿金给乙方。</w:t>
      </w:r>
    </w:p>
    <w:p w14:paraId="479B9EC9">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67E4EEEA">
      <w:pPr>
        <w:pStyle w:val="2"/>
        <w:spacing w:line="360" w:lineRule="auto"/>
        <w:ind w:firstLine="480" w:firstLineChars="200"/>
        <w:rPr>
          <w:rFonts w:hint="eastAsia" w:ascii="仿宋" w:hAnsi="仿宋" w:eastAsia="仿宋" w:cs="仿宋"/>
          <w:bCs/>
          <w:sz w:val="24"/>
        </w:rPr>
      </w:pPr>
      <w:r>
        <w:rPr>
          <w:rFonts w:hint="eastAsia" w:ascii="仿宋" w:hAnsi="仿宋" w:eastAsia="仿宋" w:cs="仿宋"/>
          <w:bCs/>
          <w:sz w:val="24"/>
        </w:rPr>
        <w:t>1</w:t>
      </w:r>
      <w:r>
        <w:rPr>
          <w:rFonts w:hint="eastAsia" w:ascii="仿宋" w:hAnsi="仿宋" w:eastAsia="仿宋" w:cs="仿宋"/>
          <w:bCs/>
          <w:sz w:val="24"/>
          <w:lang w:val="en-US" w:eastAsia="zh-CN"/>
        </w:rPr>
        <w:t>.</w:t>
      </w:r>
      <w:r>
        <w:rPr>
          <w:rFonts w:hint="eastAsia" w:ascii="仿宋" w:hAnsi="仿宋" w:eastAsia="仿宋" w:cs="仿宋"/>
          <w:bCs/>
          <w:sz w:val="24"/>
        </w:rPr>
        <w:t>乙方未按照合同约定履行</w:t>
      </w:r>
      <w:r>
        <w:rPr>
          <w:rFonts w:hint="eastAsia" w:ascii="仿宋" w:hAnsi="仿宋" w:eastAsia="仿宋" w:cs="仿宋"/>
          <w:bCs/>
          <w:sz w:val="24"/>
          <w:lang w:val="en-US" w:eastAsia="zh-CN"/>
        </w:rPr>
        <w:t>供货</w:t>
      </w:r>
      <w:r>
        <w:rPr>
          <w:rFonts w:hint="eastAsia" w:ascii="仿宋" w:hAnsi="仿宋" w:eastAsia="仿宋" w:cs="仿宋"/>
          <w:bCs/>
          <w:sz w:val="24"/>
        </w:rPr>
        <w:t>义务，每延迟一天扣合同总价的千分之</w:t>
      </w:r>
      <w:r>
        <w:rPr>
          <w:rFonts w:hint="eastAsia" w:ascii="仿宋" w:hAnsi="仿宋" w:eastAsia="仿宋" w:cs="仿宋"/>
          <w:bCs/>
          <w:sz w:val="24"/>
          <w:lang w:val="en-US" w:eastAsia="zh-CN"/>
        </w:rPr>
        <w:t>五</w:t>
      </w:r>
      <w:r>
        <w:rPr>
          <w:rFonts w:hint="eastAsia" w:ascii="仿宋" w:hAnsi="仿宋" w:eastAsia="仿宋" w:cs="仿宋"/>
          <w:bCs/>
          <w:sz w:val="24"/>
        </w:rPr>
        <w:t>/天作为违约金支付给甲方。</w:t>
      </w:r>
      <w:r>
        <w:rPr>
          <w:rFonts w:hint="eastAsia" w:ascii="仿宋" w:hAnsi="仿宋" w:eastAsia="仿宋" w:cs="仿宋"/>
          <w:bCs/>
          <w:sz w:val="24"/>
          <w:lang w:val="en-US" w:eastAsia="zh-CN"/>
        </w:rPr>
        <w:t>自甲方要求供货之日起，乙方逾期60日未安装供货或安装供货货物验收不合格的，甲方有权解除合同，并要求乙方按合同总价的百分之十支付违约金。若</w:t>
      </w:r>
      <w:r>
        <w:rPr>
          <w:rFonts w:hint="eastAsia" w:ascii="仿宋" w:hAnsi="仿宋" w:eastAsia="仿宋" w:cs="仿宋"/>
          <w:sz w:val="24"/>
          <w:szCs w:val="24"/>
        </w:rPr>
        <w:t>乙方支付的违约金不足以弥补甲方损失的，还应按甲方实际经济损失足额弥补。</w:t>
      </w:r>
      <w:r>
        <w:rPr>
          <w:rFonts w:hint="eastAsia" w:ascii="仿宋" w:hAnsi="仿宋" w:eastAsia="仿宋" w:cs="仿宋"/>
          <w:sz w:val="24"/>
        </w:rPr>
        <w:t>如乙方未能及时履行保修义务，每出现一次违约情况，应向甲方按照合同总价的</w:t>
      </w:r>
      <w:r>
        <w:rPr>
          <w:rFonts w:hint="eastAsia" w:ascii="仿宋" w:hAnsi="仿宋" w:eastAsia="仿宋" w:cs="仿宋"/>
          <w:sz w:val="24"/>
          <w:lang w:val="en-US" w:eastAsia="zh-CN"/>
        </w:rPr>
        <w:t>百分之五</w:t>
      </w:r>
      <w:r>
        <w:rPr>
          <w:rFonts w:hint="eastAsia" w:ascii="仿宋" w:hAnsi="仿宋" w:eastAsia="仿宋" w:cs="仿宋"/>
          <w:sz w:val="24"/>
        </w:rPr>
        <w:t>支付违约金。甲方为保障医疗工作正常进行，有权另行寻找第三方进行维修，产生的相关费用及责任由乙方承担。</w:t>
      </w:r>
    </w:p>
    <w:p w14:paraId="61E7450A">
      <w:pPr>
        <w:spacing w:line="360" w:lineRule="auto"/>
        <w:ind w:firstLine="480"/>
        <w:rPr>
          <w:rFonts w:hint="eastAsia" w:ascii="仿宋" w:hAnsi="仿宋" w:eastAsia="仿宋" w:cs="仿宋"/>
          <w:sz w:val="24"/>
        </w:rPr>
      </w:pPr>
      <w:r>
        <w:rPr>
          <w:rFonts w:hint="eastAsia" w:ascii="仿宋" w:hAnsi="仿宋" w:eastAsia="仿宋" w:cs="仿宋"/>
          <w:sz w:val="24"/>
        </w:rPr>
        <w:t>2</w:t>
      </w:r>
      <w:r>
        <w:rPr>
          <w:rFonts w:hint="eastAsia" w:ascii="仿宋" w:hAnsi="仿宋" w:eastAsia="仿宋" w:cs="仿宋"/>
          <w:sz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u w:val="none"/>
          <w:shd w:val="clear" w:color="auto" w:fill="FFFFFF"/>
          <w:lang w:val="en-US" w:eastAsia="zh-CN"/>
        </w:rPr>
        <w:t>百分之十</w:t>
      </w:r>
      <w:r>
        <w:rPr>
          <w:rFonts w:hint="eastAsia" w:ascii="仿宋" w:hAnsi="仿宋" w:eastAsia="仿宋" w:cs="仿宋"/>
          <w:sz w:val="24"/>
          <w:szCs w:val="24"/>
          <w:shd w:val="clear" w:color="auto" w:fill="FFFFFF"/>
        </w:rPr>
        <w:t>向甲方支付违约金并赔偿因此给甲方造成的一切损失。</w:t>
      </w:r>
    </w:p>
    <w:p w14:paraId="3704FF0B">
      <w:pPr>
        <w:widowControl/>
        <w:spacing w:line="360" w:lineRule="auto"/>
        <w:ind w:firstLine="480" w:firstLineChars="200"/>
        <w:jc w:val="left"/>
        <w:rPr>
          <w:rFonts w:hint="eastAsia" w:ascii="仿宋" w:hAnsi="仿宋" w:eastAsia="仿宋" w:cs="仿宋"/>
          <w:sz w:val="24"/>
          <w:lang w:val="en-US" w:eastAsia="zh-CN"/>
        </w:rPr>
      </w:pPr>
      <w:r>
        <w:rPr>
          <w:rFonts w:hint="eastAsia" w:ascii="仿宋" w:hAnsi="仿宋" w:eastAsia="仿宋" w:cs="仿宋"/>
          <w:sz w:val="24"/>
          <w:lang w:val="en-US" w:eastAsia="zh-CN"/>
        </w:rPr>
        <w:t>3.</w:t>
      </w:r>
      <w:r>
        <w:rPr>
          <w:rFonts w:hint="eastAsia" w:ascii="仿宋" w:hAnsi="仿宋" w:eastAsia="仿宋" w:cs="仿宋"/>
          <w:sz w:val="24"/>
        </w:rPr>
        <w:t>乙方</w:t>
      </w:r>
      <w:r>
        <w:rPr>
          <w:rFonts w:hint="eastAsia" w:ascii="仿宋" w:hAnsi="仿宋" w:eastAsia="仿宋" w:cs="仿宋"/>
          <w:sz w:val="24"/>
          <w:lang w:val="en-US" w:eastAsia="zh-CN"/>
        </w:rPr>
        <w:t>设备</w:t>
      </w:r>
      <w:r>
        <w:rPr>
          <w:rFonts w:hint="eastAsia" w:ascii="仿宋" w:hAnsi="仿宋" w:eastAsia="仿宋" w:cs="仿宋"/>
          <w:sz w:val="24"/>
        </w:rPr>
        <w:t>安装过程中，应当注意安全。因乙方</w:t>
      </w:r>
      <w:r>
        <w:rPr>
          <w:rFonts w:hint="eastAsia" w:ascii="仿宋" w:hAnsi="仿宋" w:eastAsia="仿宋" w:cs="仿宋"/>
          <w:sz w:val="24"/>
          <w:lang w:val="en-US" w:eastAsia="zh-CN"/>
        </w:rPr>
        <w:t>行为</w:t>
      </w:r>
      <w:r>
        <w:rPr>
          <w:rFonts w:hint="eastAsia" w:ascii="仿宋" w:hAnsi="仿宋" w:eastAsia="仿宋" w:cs="仿宋"/>
          <w:sz w:val="24"/>
        </w:rPr>
        <w:t>导致人员人身伤亡和财产损失（包括但不限于：甲方、乙方以及第三人），乙方负责承担损失赔偿责任。如因此导致甲方对外承担法律责任的，甲方有权向乙方全额追偿。</w:t>
      </w:r>
    </w:p>
    <w:p w14:paraId="2517ED2C">
      <w:pPr>
        <w:spacing w:line="36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0DE8394B">
      <w:pPr>
        <w:spacing w:line="360" w:lineRule="auto"/>
        <w:ind w:firstLine="57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十二、争议解决</w:t>
      </w:r>
    </w:p>
    <w:p w14:paraId="0CDD8C50">
      <w:pPr>
        <w:spacing w:line="360" w:lineRule="auto"/>
        <w:ind w:firstLine="570"/>
        <w:rPr>
          <w:rFonts w:hint="eastAsia" w:ascii="仿宋" w:hAnsi="仿宋" w:eastAsia="仿宋" w:cs="仿宋"/>
          <w:sz w:val="24"/>
        </w:rPr>
      </w:pPr>
      <w:r>
        <w:rPr>
          <w:rFonts w:hint="eastAsia" w:ascii="仿宋" w:hAnsi="仿宋" w:eastAsia="仿宋" w:cs="仿宋"/>
          <w:sz w:val="24"/>
          <w:lang w:eastAsia="zh-CN"/>
        </w:rPr>
        <w:t>因</w:t>
      </w:r>
      <w:r>
        <w:rPr>
          <w:rFonts w:hint="eastAsia" w:ascii="仿宋" w:hAnsi="仿宋" w:eastAsia="仿宋" w:cs="仿宋"/>
          <w:sz w:val="24"/>
        </w:rPr>
        <w:t>履行本协议导致的纠纷由甲乙双方本着诚信、友好之原则积极协商，如协商无果，可向甲方所在地人民法院提起诉讼。</w:t>
      </w:r>
    </w:p>
    <w:p w14:paraId="3C829988">
      <w:pPr>
        <w:spacing w:line="360" w:lineRule="auto"/>
        <w:ind w:firstLine="570"/>
        <w:rPr>
          <w:rFonts w:hint="eastAsia" w:ascii="仿宋" w:hAnsi="仿宋" w:eastAsia="仿宋" w:cs="仿宋"/>
          <w:sz w:val="24"/>
        </w:rPr>
      </w:pPr>
      <w:r>
        <w:rPr>
          <w:rFonts w:hint="eastAsia" w:ascii="仿宋" w:hAnsi="仿宋" w:eastAsia="仿宋" w:cs="仿宋"/>
          <w:sz w:val="24"/>
          <w:szCs w:val="22"/>
          <w:lang w:val="en-US" w:eastAsia="zh-CN" w:bidi="ar-SA"/>
        </w:rPr>
        <w:t>十三、</w:t>
      </w:r>
      <w:r>
        <w:rPr>
          <w:rFonts w:hint="eastAsia" w:ascii="仿宋" w:hAnsi="仿宋" w:eastAsia="仿宋" w:cs="仿宋"/>
          <w:sz w:val="24"/>
        </w:rPr>
        <w:t>本协议一式</w:t>
      </w:r>
      <w:r>
        <w:rPr>
          <w:rFonts w:hint="eastAsia" w:ascii="仿宋" w:hAnsi="仿宋" w:eastAsia="仿宋" w:cs="仿宋"/>
          <w:sz w:val="24"/>
          <w:lang w:val="en-US" w:eastAsia="zh-CN"/>
        </w:rPr>
        <w:t>伍</w:t>
      </w:r>
      <w:r>
        <w:rPr>
          <w:rFonts w:hint="eastAsia" w:ascii="仿宋" w:hAnsi="仿宋" w:eastAsia="仿宋" w:cs="仿宋"/>
          <w:sz w:val="24"/>
        </w:rPr>
        <w:t>份，</w:t>
      </w:r>
      <w:r>
        <w:rPr>
          <w:rFonts w:hint="eastAsia" w:ascii="仿宋" w:hAnsi="仿宋" w:eastAsia="仿宋" w:cs="仿宋"/>
          <w:b w:val="0"/>
          <w:bCs w:val="0"/>
          <w:sz w:val="24"/>
        </w:rPr>
        <w:t>甲方</w:t>
      </w:r>
      <w:r>
        <w:rPr>
          <w:rFonts w:hint="eastAsia" w:ascii="仿宋" w:hAnsi="仿宋" w:eastAsia="仿宋" w:cs="仿宋"/>
          <w:b w:val="0"/>
          <w:bCs w:val="0"/>
          <w:sz w:val="24"/>
          <w:lang w:val="en-US" w:eastAsia="zh-CN"/>
        </w:rPr>
        <w:t>叁</w:t>
      </w:r>
      <w:r>
        <w:rPr>
          <w:rFonts w:hint="eastAsia" w:ascii="仿宋" w:hAnsi="仿宋" w:eastAsia="仿宋" w:cs="仿宋"/>
          <w:b w:val="0"/>
          <w:bCs w:val="0"/>
          <w:sz w:val="24"/>
        </w:rPr>
        <w:t>份，乙方贰份，</w:t>
      </w:r>
      <w:r>
        <w:rPr>
          <w:rFonts w:hint="eastAsia" w:ascii="仿宋" w:hAnsi="仿宋" w:eastAsia="仿宋" w:cs="仿宋"/>
          <w:sz w:val="24"/>
        </w:rPr>
        <w:t>甲乙双方签字及盖章后生效。</w:t>
      </w:r>
    </w:p>
    <w:p w14:paraId="28068423">
      <w:pPr>
        <w:numPr>
          <w:ilvl w:val="0"/>
          <w:numId w:val="0"/>
        </w:numPr>
        <w:spacing w:line="360" w:lineRule="auto"/>
        <w:ind w:left="1281" w:leftChars="0" w:hanging="720" w:firstLineChars="0"/>
        <w:rPr>
          <w:rFonts w:hint="eastAsia" w:ascii="仿宋" w:hAnsi="仿宋" w:eastAsia="仿宋" w:cs="仿宋"/>
          <w:sz w:val="24"/>
          <w:szCs w:val="22"/>
          <w:lang w:val="en-US" w:eastAsia="zh-CN" w:bidi="ar-SA"/>
        </w:rPr>
      </w:pPr>
      <w:r>
        <w:rPr>
          <w:rFonts w:hint="eastAsia" w:ascii="仿宋" w:hAnsi="仿宋" w:eastAsia="仿宋" w:cs="仿宋"/>
          <w:sz w:val="24"/>
          <w:szCs w:val="22"/>
          <w:lang w:val="en-US" w:eastAsia="zh-CN" w:bidi="ar-SA"/>
        </w:rPr>
        <w:t>十四、送达</w:t>
      </w:r>
    </w:p>
    <w:p w14:paraId="2931796E">
      <w:pPr>
        <w:spacing w:line="360" w:lineRule="auto"/>
        <w:ind w:firstLine="480" w:firstLineChars="200"/>
        <w:rPr>
          <w:rFonts w:hint="eastAsia" w:ascii="仿宋" w:hAnsi="仿宋" w:eastAsia="仿宋" w:cs="仿宋"/>
          <w:sz w:val="24"/>
        </w:rPr>
      </w:pPr>
      <w:r>
        <w:rPr>
          <w:rFonts w:hint="eastAsia" w:ascii="仿宋" w:hAnsi="仿宋" w:eastAsia="仿宋" w:cs="仿宋"/>
          <w:sz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lang w:eastAsia="zh-CN"/>
        </w:rPr>
        <w:t>送达</w:t>
      </w:r>
      <w:r>
        <w:rPr>
          <w:rFonts w:hint="eastAsia" w:ascii="仿宋" w:hAnsi="仿宋" w:eastAsia="仿宋" w:cs="仿宋"/>
          <w:sz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lang w:eastAsia="zh-CN"/>
        </w:rPr>
        <w:t>或</w:t>
      </w:r>
      <w:r>
        <w:rPr>
          <w:rFonts w:hint="eastAsia" w:ascii="仿宋" w:hAnsi="仿宋" w:eastAsia="仿宋" w:cs="仿宋"/>
          <w:sz w:val="24"/>
        </w:rPr>
        <w:t>以邮寄方式寄出3个工作日后视为正式送达，或以快递方式在交付后的第3个工作日视为正式送达。若一方地址发生变动，应及时书面通知另一方，否则仍以本合同载明的文书送达地址为准。</w:t>
      </w:r>
    </w:p>
    <w:p w14:paraId="4B3CBE67">
      <w:pPr>
        <w:spacing w:line="460" w:lineRule="exact"/>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57"/>
        <w:gridCol w:w="4757"/>
      </w:tblGrid>
      <w:tr w14:paraId="4E17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000E9E38">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38E18C8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FB1B191">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c>
          <w:tcPr>
            <w:tcW w:w="2500" w:type="pct"/>
            <w:noWrap w:val="0"/>
            <w:vAlign w:val="top"/>
          </w:tcPr>
          <w:p w14:paraId="79DB8CBE">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5418827B">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4DF4A61D">
            <w:pPr>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rPr>
            </w:pPr>
          </w:p>
        </w:tc>
      </w:tr>
      <w:tr w14:paraId="44BA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E3A4EF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29446DA9">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0E56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16552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17675EA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56496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A1798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6E53BC7F">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5373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7810984A">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41BE0527">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3538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EEA0B5">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5A1D7838">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1923E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C03268D">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4312469E">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29ACE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9DA678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c>
          <w:tcPr>
            <w:tcW w:w="2500" w:type="pct"/>
            <w:noWrap w:val="0"/>
            <w:vAlign w:val="top"/>
          </w:tcPr>
          <w:p w14:paraId="77C029B0">
            <w:pPr>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合同签订日期：</w:t>
            </w:r>
          </w:p>
        </w:tc>
      </w:tr>
    </w:tbl>
    <w:p w14:paraId="5EF1EC1F">
      <w:pPr>
        <w:rPr>
          <w:rFonts w:hint="eastAsia"/>
          <w:lang w:val="en-US" w:eastAsia="en-US"/>
        </w:rPr>
      </w:pPr>
    </w:p>
    <w:sectPr>
      <w:pgSz w:w="11906" w:h="16838"/>
      <w:pgMar w:top="1928" w:right="1247" w:bottom="1814" w:left="136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ADA1ED-7253-493E-893A-1BA6C87C580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BBB43E4-6E99-4B58-99CB-8A3CFD286B6D}"/>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359A9938-69C9-459C-BF9F-826754AE628B}"/>
  </w:font>
  <w:font w:name="仿宋_GB2312">
    <w:panose1 w:val="02010609030101010101"/>
    <w:charset w:val="86"/>
    <w:family w:val="auto"/>
    <w:pitch w:val="default"/>
    <w:sig w:usb0="00000001" w:usb1="080E0000" w:usb2="00000000" w:usb3="00000000" w:csb0="00040000" w:csb1="00000000"/>
    <w:embedRegular r:id="rId4" w:fontKey="{530E4CCC-CF0C-41EF-9A66-DF4BC77F1595}"/>
  </w:font>
  <w:font w:name="仿宋">
    <w:panose1 w:val="02010609060101010101"/>
    <w:charset w:val="86"/>
    <w:family w:val="auto"/>
    <w:pitch w:val="default"/>
    <w:sig w:usb0="800002BF" w:usb1="38CF7CFA" w:usb2="00000016" w:usb3="00000000" w:csb0="00040001" w:csb1="00000000"/>
    <w:embedRegular r:id="rId5" w:fontKey="{9C39C407-EEB3-446C-97E9-65BD8BB14F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0733E26"/>
    <w:rsid w:val="00EF16FF"/>
    <w:rsid w:val="013025B4"/>
    <w:rsid w:val="02755A92"/>
    <w:rsid w:val="035F7E52"/>
    <w:rsid w:val="04F11B66"/>
    <w:rsid w:val="05A338F5"/>
    <w:rsid w:val="06EC048E"/>
    <w:rsid w:val="07323C5D"/>
    <w:rsid w:val="07741257"/>
    <w:rsid w:val="086C156F"/>
    <w:rsid w:val="08C94F2B"/>
    <w:rsid w:val="097D1872"/>
    <w:rsid w:val="09A3752A"/>
    <w:rsid w:val="0A32289A"/>
    <w:rsid w:val="0A4043CD"/>
    <w:rsid w:val="0AB62875"/>
    <w:rsid w:val="0AB706E8"/>
    <w:rsid w:val="0D3037CB"/>
    <w:rsid w:val="0DCE68D5"/>
    <w:rsid w:val="0E1A1D85"/>
    <w:rsid w:val="0F587009"/>
    <w:rsid w:val="11AF0D5D"/>
    <w:rsid w:val="13A97184"/>
    <w:rsid w:val="14A34882"/>
    <w:rsid w:val="14EF77DE"/>
    <w:rsid w:val="166938A9"/>
    <w:rsid w:val="16D04278"/>
    <w:rsid w:val="16D056D6"/>
    <w:rsid w:val="18666EF1"/>
    <w:rsid w:val="18980476"/>
    <w:rsid w:val="189D4889"/>
    <w:rsid w:val="19E77727"/>
    <w:rsid w:val="1A3A1FB2"/>
    <w:rsid w:val="1A684261"/>
    <w:rsid w:val="1BC71E6E"/>
    <w:rsid w:val="1D61402B"/>
    <w:rsid w:val="1E3C155B"/>
    <w:rsid w:val="1EAC02BD"/>
    <w:rsid w:val="201E6FC3"/>
    <w:rsid w:val="202D213C"/>
    <w:rsid w:val="21050673"/>
    <w:rsid w:val="21303941"/>
    <w:rsid w:val="21917C6C"/>
    <w:rsid w:val="22DF73CD"/>
    <w:rsid w:val="24912949"/>
    <w:rsid w:val="24A3267C"/>
    <w:rsid w:val="266B71CA"/>
    <w:rsid w:val="26913EC4"/>
    <w:rsid w:val="26EA00EF"/>
    <w:rsid w:val="26F471BF"/>
    <w:rsid w:val="273A6663"/>
    <w:rsid w:val="28856217"/>
    <w:rsid w:val="29CE2B65"/>
    <w:rsid w:val="29D93476"/>
    <w:rsid w:val="2A64640A"/>
    <w:rsid w:val="2A921E30"/>
    <w:rsid w:val="2C3317E7"/>
    <w:rsid w:val="2C7A7BA5"/>
    <w:rsid w:val="2EF647DE"/>
    <w:rsid w:val="2F4B7B98"/>
    <w:rsid w:val="2F9D4864"/>
    <w:rsid w:val="33435756"/>
    <w:rsid w:val="33725533"/>
    <w:rsid w:val="345B220F"/>
    <w:rsid w:val="34627E5E"/>
    <w:rsid w:val="35E637E5"/>
    <w:rsid w:val="367E2601"/>
    <w:rsid w:val="37103BA1"/>
    <w:rsid w:val="377A54BF"/>
    <w:rsid w:val="37B61084"/>
    <w:rsid w:val="380F5C07"/>
    <w:rsid w:val="38770CBE"/>
    <w:rsid w:val="38E066E2"/>
    <w:rsid w:val="39A85699"/>
    <w:rsid w:val="39E72CC9"/>
    <w:rsid w:val="3A6E1653"/>
    <w:rsid w:val="3A944CB8"/>
    <w:rsid w:val="3AA80595"/>
    <w:rsid w:val="3D597924"/>
    <w:rsid w:val="3D8C298A"/>
    <w:rsid w:val="40A00055"/>
    <w:rsid w:val="41B84C62"/>
    <w:rsid w:val="420662CD"/>
    <w:rsid w:val="42556256"/>
    <w:rsid w:val="43343458"/>
    <w:rsid w:val="442671C8"/>
    <w:rsid w:val="454964D0"/>
    <w:rsid w:val="47250A55"/>
    <w:rsid w:val="47A948B2"/>
    <w:rsid w:val="49C425C9"/>
    <w:rsid w:val="4A7B537E"/>
    <w:rsid w:val="4B117A90"/>
    <w:rsid w:val="4B2C0426"/>
    <w:rsid w:val="4C03492F"/>
    <w:rsid w:val="4C3C0227"/>
    <w:rsid w:val="4C5771F3"/>
    <w:rsid w:val="4CEE0B32"/>
    <w:rsid w:val="4DB74893"/>
    <w:rsid w:val="4DFC0584"/>
    <w:rsid w:val="4EA43508"/>
    <w:rsid w:val="4ED259FB"/>
    <w:rsid w:val="4F0E056F"/>
    <w:rsid w:val="4F367C65"/>
    <w:rsid w:val="4F654A4F"/>
    <w:rsid w:val="4FEC1657"/>
    <w:rsid w:val="509B22D6"/>
    <w:rsid w:val="50D74A4C"/>
    <w:rsid w:val="530002C1"/>
    <w:rsid w:val="53D045E2"/>
    <w:rsid w:val="53E43B27"/>
    <w:rsid w:val="54817F20"/>
    <w:rsid w:val="576469B4"/>
    <w:rsid w:val="57D36B09"/>
    <w:rsid w:val="58083E73"/>
    <w:rsid w:val="5809221B"/>
    <w:rsid w:val="58A9755A"/>
    <w:rsid w:val="58DF3B4A"/>
    <w:rsid w:val="596D45F7"/>
    <w:rsid w:val="5AB83A84"/>
    <w:rsid w:val="5ABB1768"/>
    <w:rsid w:val="5C9221C8"/>
    <w:rsid w:val="5D641D7E"/>
    <w:rsid w:val="5DA77BB9"/>
    <w:rsid w:val="5DB81DEE"/>
    <w:rsid w:val="60DA5BD2"/>
    <w:rsid w:val="61654558"/>
    <w:rsid w:val="6205092E"/>
    <w:rsid w:val="626B5013"/>
    <w:rsid w:val="626D15F8"/>
    <w:rsid w:val="630E339F"/>
    <w:rsid w:val="63493E13"/>
    <w:rsid w:val="645B3DFE"/>
    <w:rsid w:val="649B337D"/>
    <w:rsid w:val="65BB3441"/>
    <w:rsid w:val="65C506A9"/>
    <w:rsid w:val="69022377"/>
    <w:rsid w:val="6A491493"/>
    <w:rsid w:val="6A8B4C4A"/>
    <w:rsid w:val="6BAE515B"/>
    <w:rsid w:val="6BF80185"/>
    <w:rsid w:val="6D2F4F04"/>
    <w:rsid w:val="6E4F50A1"/>
    <w:rsid w:val="6EAF5EB0"/>
    <w:rsid w:val="6F6D5A92"/>
    <w:rsid w:val="6F6E67C7"/>
    <w:rsid w:val="6F8A2417"/>
    <w:rsid w:val="6F8B0168"/>
    <w:rsid w:val="6FC52A74"/>
    <w:rsid w:val="711D243B"/>
    <w:rsid w:val="71F8736C"/>
    <w:rsid w:val="73B0768A"/>
    <w:rsid w:val="74CE5F27"/>
    <w:rsid w:val="757310EA"/>
    <w:rsid w:val="75BF063E"/>
    <w:rsid w:val="75D752AF"/>
    <w:rsid w:val="766156EC"/>
    <w:rsid w:val="77B51620"/>
    <w:rsid w:val="78006113"/>
    <w:rsid w:val="78E819E6"/>
    <w:rsid w:val="7BA15D4D"/>
    <w:rsid w:val="7D500B7D"/>
    <w:rsid w:val="7E337128"/>
    <w:rsid w:val="7EFB052B"/>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正文文本缩进1"/>
    <w:basedOn w:val="1"/>
    <w:qFormat/>
    <w:uiPriority w:val="0"/>
    <w:pPr>
      <w:ind w:firstLine="540" w:firstLineChars="225"/>
    </w:pPr>
    <w:rPr>
      <w:rFonts w:hAnsi="Bookman Old Style"/>
      <w:sz w:val="24"/>
    </w:rPr>
  </w:style>
  <w:style w:type="character" w:customStyle="1" w:styleId="12">
    <w:name w:val="cjn1"/>
    <w:basedOn w:val="8"/>
    <w:qFormat/>
    <w:uiPriority w:val="0"/>
    <w:rPr>
      <w:rFonts w:hint="eastAsia" w:ascii="宋体" w:hAnsi="宋体" w:eastAsia="宋体"/>
      <w:sz w:val="22"/>
      <w:szCs w:val="22"/>
      <w:u w:val="none"/>
    </w:rPr>
  </w:style>
  <w:style w:type="paragraph" w:customStyle="1" w:styleId="1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1545</Words>
  <Characters>1742</Characters>
  <Lines>0</Lines>
  <Paragraphs>0</Paragraphs>
  <TotalTime>24</TotalTime>
  <ScaleCrop>false</ScaleCrop>
  <LinksUpToDate>false</LinksUpToDate>
  <CharactersWithSpaces>1742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2025-10-09T03:22:00Z</cp:lastPrinted>
  <dcterms:modified xsi:type="dcterms:W3CDTF">2025-10-15T06:42:06Z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C08A3867D8E14E1DAA2C37D84192CD40_13</vt:lpwstr>
  </property>
</Properties>
</file>